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1E" w:rsidRDefault="004205DA" w:rsidP="004205DA">
      <w:pPr>
        <w:pStyle w:val="Titolo"/>
        <w:widowControl w:val="0"/>
        <w:spacing w:before="0" w:after="0" w:line="567" w:lineRule="exact"/>
        <w:ind w:left="0" w:firstLine="0"/>
        <w:jc w:val="left"/>
        <w:rPr>
          <w:rFonts w:ascii="Verdana" w:hAnsi="Verdana"/>
          <w:bCs/>
          <w:i/>
          <w:color w:val="auto"/>
          <w:sz w:val="20"/>
        </w:rPr>
      </w:pPr>
      <w:bookmarkStart w:id="0" w:name="_GoBack"/>
      <w:bookmarkEnd w:id="0"/>
      <w:r>
        <w:rPr>
          <w:noProof/>
        </w:rPr>
        <w:drawing>
          <wp:anchor distT="0" distB="0" distL="114300" distR="114300" simplePos="0" relativeHeight="251660288" behindDoc="0" locked="0" layoutInCell="1" allowOverlap="1" wp14:anchorId="327BDB9D" wp14:editId="54A4DA85">
            <wp:simplePos x="0" y="0"/>
            <wp:positionH relativeFrom="column">
              <wp:posOffset>2673985</wp:posOffset>
            </wp:positionH>
            <wp:positionV relativeFrom="paragraph">
              <wp:posOffset>9525</wp:posOffset>
            </wp:positionV>
            <wp:extent cx="590550" cy="61912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98">
        <w:rPr>
          <w:rFonts w:ascii="Verdana" w:hAnsi="Verdana"/>
          <w:bCs/>
          <w:i/>
          <w:color w:val="auto"/>
          <w:sz w:val="20"/>
        </w:rPr>
        <w:t xml:space="preserve">       </w:t>
      </w:r>
    </w:p>
    <w:p w:rsidR="00406367" w:rsidRDefault="00406367" w:rsidP="004205DA">
      <w:pPr>
        <w:pStyle w:val="Titolo"/>
        <w:widowControl w:val="0"/>
        <w:spacing w:before="0" w:after="0" w:line="567" w:lineRule="exact"/>
        <w:ind w:left="0" w:firstLine="0"/>
        <w:jc w:val="left"/>
        <w:rPr>
          <w:rFonts w:ascii="Verdana" w:hAnsi="Verdana"/>
          <w:bCs/>
          <w:i/>
          <w:color w:val="auto"/>
          <w:sz w:val="20"/>
        </w:rPr>
      </w:pPr>
    </w:p>
    <w:p w:rsidR="00406367" w:rsidRDefault="00F74F98" w:rsidP="00717685">
      <w:pPr>
        <w:widowControl w:val="0"/>
        <w:spacing w:after="0" w:line="567" w:lineRule="exact"/>
        <w:jc w:val="center"/>
        <w:rPr>
          <w:rFonts w:ascii="Verdana" w:hAnsi="Verdana"/>
          <w:sz w:val="20"/>
        </w:rPr>
      </w:pPr>
      <w:r>
        <w:rPr>
          <w:rFonts w:ascii="Verdana" w:hAnsi="Verdana"/>
          <w:b/>
          <w:bCs/>
          <w:i/>
          <w:sz w:val="20"/>
        </w:rPr>
        <w:t xml:space="preserve">   </w:t>
      </w:r>
      <w:r w:rsidR="00717685">
        <w:rPr>
          <w:rFonts w:ascii="Verdana" w:hAnsi="Verdana"/>
          <w:b/>
          <w:bCs/>
          <w:i/>
          <w:sz w:val="20"/>
        </w:rPr>
        <w:t xml:space="preserve">   </w:t>
      </w:r>
      <w:r w:rsidR="009B1DFF">
        <w:rPr>
          <w:rFonts w:ascii="Verdana" w:hAnsi="Verdana"/>
          <w:b/>
          <w:bCs/>
          <w:i/>
          <w:sz w:val="20"/>
        </w:rPr>
        <w:t xml:space="preserve">  </w:t>
      </w:r>
      <w:r w:rsidR="004D4A98">
        <w:rPr>
          <w:rFonts w:ascii="Verdana" w:hAnsi="Verdana"/>
          <w:b/>
          <w:bCs/>
          <w:i/>
          <w:sz w:val="20"/>
        </w:rPr>
        <w:t xml:space="preserve">                      </w:t>
      </w:r>
      <w:r w:rsidR="00E4670F">
        <w:rPr>
          <w:rFonts w:ascii="Verdana" w:hAnsi="Verdana"/>
          <w:b/>
          <w:bCs/>
          <w:i/>
          <w:sz w:val="20"/>
        </w:rPr>
        <w:t xml:space="preserve"> </w:t>
      </w:r>
      <w:r w:rsidR="004D4A98">
        <w:rPr>
          <w:rFonts w:ascii="Verdana" w:hAnsi="Verdana"/>
          <w:b/>
          <w:bCs/>
          <w:i/>
          <w:sz w:val="20"/>
        </w:rPr>
        <w:t xml:space="preserve">  </w:t>
      </w:r>
      <w:r w:rsidR="00406367" w:rsidRPr="0080455D">
        <w:rPr>
          <w:rFonts w:ascii="Verdana" w:hAnsi="Verdana"/>
          <w:b/>
          <w:bCs/>
          <w:i/>
          <w:sz w:val="20"/>
        </w:rPr>
        <w:t>Repubblica italiana</w:t>
      </w:r>
      <w:r w:rsidR="00406367">
        <w:rPr>
          <w:rFonts w:ascii="Verdana" w:hAnsi="Verdana"/>
          <w:b/>
          <w:bCs/>
          <w:sz w:val="20"/>
        </w:rPr>
        <w:t xml:space="preserve"> </w:t>
      </w:r>
      <w:r w:rsidR="009C09A1">
        <w:rPr>
          <w:rFonts w:ascii="Verdana" w:hAnsi="Verdana"/>
          <w:bCs/>
          <w:sz w:val="20"/>
        </w:rPr>
        <w:t>del. n.</w:t>
      </w:r>
      <w:r w:rsidR="005B6394">
        <w:rPr>
          <w:rFonts w:ascii="Verdana" w:hAnsi="Verdana"/>
          <w:bCs/>
          <w:sz w:val="20"/>
        </w:rPr>
        <w:t xml:space="preserve"> 233</w:t>
      </w:r>
      <w:r w:rsidR="0081389D">
        <w:rPr>
          <w:rFonts w:ascii="Verdana" w:hAnsi="Verdana"/>
          <w:bCs/>
          <w:sz w:val="20"/>
        </w:rPr>
        <w:t>/2016</w:t>
      </w:r>
      <w:r w:rsidR="00C54196">
        <w:rPr>
          <w:rFonts w:ascii="Verdana" w:hAnsi="Verdana"/>
          <w:bCs/>
          <w:sz w:val="20"/>
        </w:rPr>
        <w:t>/PAR</w:t>
      </w:r>
    </w:p>
    <w:p w:rsidR="00406367" w:rsidRPr="0080455D" w:rsidRDefault="004D4A98" w:rsidP="004D4A98">
      <w:pPr>
        <w:widowControl w:val="0"/>
        <w:spacing w:after="0" w:line="567" w:lineRule="exact"/>
        <w:rPr>
          <w:rFonts w:ascii="Verdana" w:hAnsi="Verdana"/>
          <w:b/>
          <w:bCs/>
          <w:i/>
          <w:sz w:val="20"/>
        </w:rPr>
      </w:pPr>
      <w:r>
        <w:rPr>
          <w:rFonts w:ascii="Verdana" w:hAnsi="Verdana"/>
          <w:b/>
          <w:bCs/>
          <w:i/>
          <w:sz w:val="20"/>
        </w:rPr>
        <w:t xml:space="preserve">                                                   </w:t>
      </w:r>
      <w:r w:rsidR="00406367" w:rsidRPr="0080455D">
        <w:rPr>
          <w:rFonts w:ascii="Verdana" w:hAnsi="Verdana"/>
          <w:b/>
          <w:bCs/>
          <w:i/>
          <w:sz w:val="20"/>
        </w:rPr>
        <w:t>La Corte dei conti</w:t>
      </w:r>
    </w:p>
    <w:p w:rsidR="00406367" w:rsidRPr="0080455D" w:rsidRDefault="00406367" w:rsidP="00717685">
      <w:pPr>
        <w:widowControl w:val="0"/>
        <w:spacing w:after="0" w:line="567" w:lineRule="exact"/>
        <w:jc w:val="center"/>
        <w:rPr>
          <w:rFonts w:ascii="Verdana" w:hAnsi="Verdana"/>
          <w:b/>
          <w:bCs/>
          <w:i/>
          <w:sz w:val="20"/>
        </w:rPr>
      </w:pPr>
      <w:r w:rsidRPr="0080455D">
        <w:rPr>
          <w:rFonts w:ascii="Verdana" w:hAnsi="Verdana"/>
          <w:b/>
          <w:bCs/>
          <w:i/>
          <w:sz w:val="20"/>
        </w:rPr>
        <w:t>in</w:t>
      </w:r>
    </w:p>
    <w:p w:rsidR="00406367" w:rsidRPr="0080455D" w:rsidRDefault="004D4A98" w:rsidP="00717685">
      <w:pPr>
        <w:widowControl w:val="0"/>
        <w:spacing w:after="0" w:line="567" w:lineRule="exact"/>
        <w:jc w:val="center"/>
        <w:rPr>
          <w:rFonts w:ascii="Verdana" w:hAnsi="Verdana"/>
          <w:b/>
          <w:bCs/>
          <w:i/>
          <w:sz w:val="20"/>
        </w:rPr>
      </w:pPr>
      <w:r>
        <w:rPr>
          <w:rFonts w:ascii="Verdana" w:hAnsi="Verdana"/>
          <w:b/>
          <w:bCs/>
          <w:i/>
          <w:sz w:val="20"/>
        </w:rPr>
        <w:t xml:space="preserve">  </w:t>
      </w:r>
      <w:r w:rsidR="00406367" w:rsidRPr="0080455D">
        <w:rPr>
          <w:rFonts w:ascii="Verdana" w:hAnsi="Verdana"/>
          <w:b/>
          <w:bCs/>
          <w:i/>
          <w:sz w:val="20"/>
        </w:rPr>
        <w:t>Sezione regionale di controllo</w:t>
      </w:r>
    </w:p>
    <w:p w:rsidR="00406367" w:rsidRPr="0080455D" w:rsidRDefault="004D4A98" w:rsidP="00717685">
      <w:pPr>
        <w:widowControl w:val="0"/>
        <w:spacing w:after="0" w:line="567" w:lineRule="exact"/>
        <w:jc w:val="center"/>
        <w:rPr>
          <w:rFonts w:ascii="Verdana" w:hAnsi="Verdana"/>
          <w:b/>
          <w:bCs/>
          <w:i/>
          <w:sz w:val="20"/>
        </w:rPr>
      </w:pPr>
      <w:r>
        <w:rPr>
          <w:rFonts w:ascii="Verdana" w:hAnsi="Verdana"/>
          <w:b/>
          <w:bCs/>
          <w:i/>
          <w:sz w:val="20"/>
        </w:rPr>
        <w:t xml:space="preserve"> </w:t>
      </w:r>
      <w:r w:rsidR="00406367" w:rsidRPr="0080455D">
        <w:rPr>
          <w:rFonts w:ascii="Verdana" w:hAnsi="Verdana"/>
          <w:b/>
          <w:bCs/>
          <w:i/>
          <w:sz w:val="20"/>
        </w:rPr>
        <w:t>per l’Abruzzo</w:t>
      </w:r>
    </w:p>
    <w:p w:rsidR="00C64BB6" w:rsidRDefault="00F74F98" w:rsidP="00717685">
      <w:pPr>
        <w:pStyle w:val="Corpodeltesto21"/>
        <w:widowControl w:val="0"/>
        <w:spacing w:line="567" w:lineRule="exact"/>
        <w:ind w:left="0" w:firstLine="0"/>
        <w:jc w:val="center"/>
        <w:rPr>
          <w:rFonts w:ascii="Verdana" w:hAnsi="Verdana" w:cs="Arial"/>
          <w:sz w:val="20"/>
        </w:rPr>
      </w:pPr>
      <w:r>
        <w:rPr>
          <w:rFonts w:ascii="Verdana" w:hAnsi="Verdana" w:cs="Arial"/>
          <w:sz w:val="20"/>
        </w:rPr>
        <w:t>nella Camera di consiglio de</w:t>
      </w:r>
      <w:r w:rsidR="003D0E6B">
        <w:rPr>
          <w:rFonts w:ascii="Verdana" w:hAnsi="Verdana" w:cs="Arial"/>
          <w:sz w:val="20"/>
        </w:rPr>
        <w:t>l</w:t>
      </w:r>
      <w:r w:rsidR="00CB65EE">
        <w:rPr>
          <w:rFonts w:ascii="Verdana" w:hAnsi="Verdana" w:cs="Arial"/>
          <w:sz w:val="20"/>
        </w:rPr>
        <w:t>l’1 dicembre 2016</w:t>
      </w:r>
    </w:p>
    <w:p w:rsidR="00C64BB6" w:rsidRDefault="00406367" w:rsidP="00717685">
      <w:pPr>
        <w:pStyle w:val="Corpotesto"/>
        <w:widowControl w:val="0"/>
        <w:rPr>
          <w:rFonts w:ascii="Verdana" w:hAnsi="Verdana"/>
          <w:sz w:val="20"/>
        </w:rPr>
      </w:pPr>
      <w:r>
        <w:rPr>
          <w:rFonts w:ascii="Verdana" w:hAnsi="Verdana"/>
          <w:sz w:val="20"/>
        </w:rPr>
        <w:t xml:space="preserve">      </w:t>
      </w:r>
      <w:r w:rsidR="008A786B">
        <w:rPr>
          <w:rFonts w:ascii="Verdana" w:hAnsi="Verdana"/>
          <w:sz w:val="20"/>
        </w:rPr>
        <w:t xml:space="preserve"> </w:t>
      </w:r>
      <w:r w:rsidR="00C64BB6">
        <w:rPr>
          <w:rFonts w:ascii="Verdana" w:hAnsi="Verdana"/>
          <w:sz w:val="20"/>
        </w:rPr>
        <w:t>composta dai Magistrati:</w:t>
      </w:r>
    </w:p>
    <w:tbl>
      <w:tblPr>
        <w:tblW w:w="7194" w:type="dxa"/>
        <w:tblInd w:w="942" w:type="dxa"/>
        <w:tblLook w:val="04A0" w:firstRow="1" w:lastRow="0" w:firstColumn="1" w:lastColumn="0" w:noHBand="0" w:noVBand="1"/>
      </w:tblPr>
      <w:tblGrid>
        <w:gridCol w:w="3640"/>
        <w:gridCol w:w="3554"/>
      </w:tblGrid>
      <w:tr w:rsidR="00DE0891" w:rsidRPr="006E3C8C" w:rsidTr="0031255B">
        <w:tc>
          <w:tcPr>
            <w:tcW w:w="3640" w:type="dxa"/>
            <w:vAlign w:val="center"/>
          </w:tcPr>
          <w:p w:rsidR="00DE0891" w:rsidRPr="00A5650A" w:rsidRDefault="00A5650A" w:rsidP="0031255B">
            <w:pPr>
              <w:pStyle w:val="Corpodeltesto22"/>
              <w:widowControl w:val="0"/>
              <w:spacing w:line="567" w:lineRule="exact"/>
              <w:ind w:left="0" w:firstLine="0"/>
              <w:jc w:val="left"/>
              <w:rPr>
                <w:rFonts w:ascii="Verdana" w:hAnsi="Verdana"/>
                <w:sz w:val="20"/>
              </w:rPr>
            </w:pPr>
            <w:r w:rsidRPr="00A5650A">
              <w:rPr>
                <w:rFonts w:ascii="Verdana" w:hAnsi="Verdana"/>
                <w:sz w:val="20"/>
              </w:rPr>
              <w:t>Antonio FRITTELLA</w:t>
            </w:r>
          </w:p>
        </w:tc>
        <w:tc>
          <w:tcPr>
            <w:tcW w:w="3554" w:type="dxa"/>
            <w:vAlign w:val="center"/>
          </w:tcPr>
          <w:p w:rsidR="00DE0891" w:rsidRPr="00A5650A" w:rsidRDefault="00DE0891" w:rsidP="0031255B">
            <w:pPr>
              <w:pStyle w:val="Corpodeltesto22"/>
              <w:widowControl w:val="0"/>
              <w:spacing w:line="567" w:lineRule="exact"/>
              <w:ind w:left="0" w:firstLine="0"/>
              <w:jc w:val="left"/>
              <w:rPr>
                <w:rFonts w:ascii="Verdana" w:hAnsi="Verdana"/>
                <w:sz w:val="20"/>
              </w:rPr>
            </w:pPr>
            <w:r w:rsidRPr="00A5650A">
              <w:rPr>
                <w:rFonts w:ascii="Verdana" w:hAnsi="Verdana"/>
                <w:sz w:val="20"/>
              </w:rPr>
              <w:t>Presidente</w:t>
            </w:r>
          </w:p>
        </w:tc>
      </w:tr>
      <w:tr w:rsidR="004C410C" w:rsidRPr="006E3C8C" w:rsidTr="0031255B">
        <w:tc>
          <w:tcPr>
            <w:tcW w:w="3640" w:type="dxa"/>
            <w:vAlign w:val="center"/>
          </w:tcPr>
          <w:p w:rsidR="004C410C" w:rsidRDefault="004C410C" w:rsidP="0031255B">
            <w:pPr>
              <w:pStyle w:val="Corpodeltesto22"/>
              <w:widowControl w:val="0"/>
              <w:spacing w:line="567" w:lineRule="exact"/>
              <w:ind w:left="0" w:firstLine="0"/>
              <w:jc w:val="left"/>
              <w:rPr>
                <w:rFonts w:ascii="Verdana" w:hAnsi="Verdana"/>
                <w:sz w:val="20"/>
              </w:rPr>
            </w:pPr>
            <w:r>
              <w:rPr>
                <w:rFonts w:ascii="Verdana" w:hAnsi="Verdana"/>
                <w:sz w:val="20"/>
              </w:rPr>
              <w:t>Lucilla VALENTE</w:t>
            </w:r>
          </w:p>
        </w:tc>
        <w:tc>
          <w:tcPr>
            <w:tcW w:w="3554" w:type="dxa"/>
            <w:vAlign w:val="center"/>
          </w:tcPr>
          <w:p w:rsidR="004C410C" w:rsidRDefault="004C410C" w:rsidP="0031255B">
            <w:pPr>
              <w:pStyle w:val="Corpodeltesto22"/>
              <w:widowControl w:val="0"/>
              <w:spacing w:line="567" w:lineRule="exact"/>
              <w:ind w:left="0" w:firstLine="0"/>
              <w:jc w:val="left"/>
              <w:rPr>
                <w:rFonts w:ascii="Verdana" w:hAnsi="Verdana"/>
                <w:sz w:val="20"/>
              </w:rPr>
            </w:pPr>
            <w:r>
              <w:rPr>
                <w:rFonts w:ascii="Verdana" w:hAnsi="Verdana"/>
                <w:sz w:val="20"/>
              </w:rPr>
              <w:t>Consigliere</w:t>
            </w:r>
          </w:p>
        </w:tc>
      </w:tr>
      <w:tr w:rsidR="00D7240E" w:rsidTr="00D7240E">
        <w:tc>
          <w:tcPr>
            <w:tcW w:w="3640" w:type="dxa"/>
            <w:vAlign w:val="center"/>
          </w:tcPr>
          <w:p w:rsidR="00D7240E" w:rsidRDefault="00D7240E">
            <w:pPr>
              <w:pStyle w:val="Corpodeltesto22"/>
              <w:widowControl w:val="0"/>
              <w:spacing w:line="567" w:lineRule="exact"/>
              <w:ind w:left="0" w:firstLine="0"/>
              <w:jc w:val="left"/>
              <w:rPr>
                <w:rFonts w:ascii="Verdana" w:hAnsi="Verdana"/>
                <w:sz w:val="20"/>
              </w:rPr>
            </w:pPr>
            <w:r>
              <w:rPr>
                <w:rFonts w:ascii="Verdana" w:hAnsi="Verdana"/>
                <w:sz w:val="20"/>
              </w:rPr>
              <w:t>Antonio DANDOLO</w:t>
            </w:r>
          </w:p>
        </w:tc>
        <w:tc>
          <w:tcPr>
            <w:tcW w:w="3554" w:type="dxa"/>
            <w:vAlign w:val="center"/>
          </w:tcPr>
          <w:p w:rsidR="00D7240E" w:rsidRDefault="00D7240E">
            <w:pPr>
              <w:pStyle w:val="Corpodeltesto22"/>
              <w:widowControl w:val="0"/>
              <w:spacing w:line="567" w:lineRule="exact"/>
              <w:ind w:left="0" w:firstLine="0"/>
              <w:jc w:val="left"/>
              <w:rPr>
                <w:rFonts w:ascii="Verdana" w:hAnsi="Verdana"/>
                <w:sz w:val="20"/>
              </w:rPr>
            </w:pPr>
            <w:r>
              <w:rPr>
                <w:rFonts w:ascii="Verdana" w:hAnsi="Verdana"/>
                <w:sz w:val="20"/>
              </w:rPr>
              <w:t>Consigliere</w:t>
            </w:r>
            <w:r w:rsidR="00B245D3">
              <w:rPr>
                <w:rFonts w:ascii="Verdana" w:hAnsi="Verdana"/>
                <w:sz w:val="20"/>
              </w:rPr>
              <w:t xml:space="preserve"> (relatore)</w:t>
            </w:r>
          </w:p>
        </w:tc>
      </w:tr>
      <w:tr w:rsidR="000213BB" w:rsidRPr="006E3C8C" w:rsidTr="0031255B">
        <w:tc>
          <w:tcPr>
            <w:tcW w:w="3640" w:type="dxa"/>
            <w:vAlign w:val="center"/>
          </w:tcPr>
          <w:p w:rsidR="000213BB" w:rsidRDefault="000213BB" w:rsidP="0031255B">
            <w:pPr>
              <w:pStyle w:val="Corpodeltesto22"/>
              <w:widowControl w:val="0"/>
              <w:spacing w:line="567" w:lineRule="exact"/>
              <w:ind w:left="0" w:firstLine="0"/>
              <w:jc w:val="left"/>
              <w:rPr>
                <w:rFonts w:ascii="Verdana" w:hAnsi="Verdana"/>
                <w:sz w:val="20"/>
              </w:rPr>
            </w:pPr>
            <w:r>
              <w:rPr>
                <w:rFonts w:ascii="Verdana" w:hAnsi="Verdana"/>
                <w:sz w:val="20"/>
              </w:rPr>
              <w:t>Vincenzo CHIORAZZO</w:t>
            </w:r>
          </w:p>
        </w:tc>
        <w:tc>
          <w:tcPr>
            <w:tcW w:w="3554" w:type="dxa"/>
            <w:vAlign w:val="center"/>
          </w:tcPr>
          <w:p w:rsidR="000213BB" w:rsidRDefault="000213BB" w:rsidP="00B245D3">
            <w:pPr>
              <w:pStyle w:val="Corpodeltesto22"/>
              <w:widowControl w:val="0"/>
              <w:spacing w:line="567" w:lineRule="exact"/>
              <w:ind w:left="0" w:firstLine="0"/>
              <w:jc w:val="left"/>
              <w:rPr>
                <w:rFonts w:ascii="Verdana" w:hAnsi="Verdana"/>
                <w:sz w:val="20"/>
              </w:rPr>
            </w:pPr>
            <w:r>
              <w:rPr>
                <w:rFonts w:ascii="Verdana" w:hAnsi="Verdana"/>
                <w:sz w:val="20"/>
              </w:rPr>
              <w:t>Consigliere</w:t>
            </w:r>
          </w:p>
        </w:tc>
      </w:tr>
      <w:tr w:rsidR="000213BB" w:rsidRPr="006E3C8C" w:rsidTr="0031255B">
        <w:tc>
          <w:tcPr>
            <w:tcW w:w="3640" w:type="dxa"/>
            <w:vAlign w:val="center"/>
          </w:tcPr>
          <w:p w:rsidR="000213BB" w:rsidRDefault="000213BB" w:rsidP="0031255B">
            <w:pPr>
              <w:pStyle w:val="Corpodeltesto22"/>
              <w:widowControl w:val="0"/>
              <w:spacing w:line="567" w:lineRule="exact"/>
              <w:ind w:left="0" w:firstLine="0"/>
              <w:jc w:val="left"/>
              <w:rPr>
                <w:rFonts w:ascii="Verdana" w:hAnsi="Verdana"/>
                <w:sz w:val="20"/>
              </w:rPr>
            </w:pPr>
            <w:r>
              <w:rPr>
                <w:rFonts w:ascii="Verdana" w:hAnsi="Verdana"/>
                <w:sz w:val="20"/>
              </w:rPr>
              <w:t>Andrea LUBERTI</w:t>
            </w:r>
          </w:p>
        </w:tc>
        <w:tc>
          <w:tcPr>
            <w:tcW w:w="3554" w:type="dxa"/>
            <w:vAlign w:val="center"/>
          </w:tcPr>
          <w:p w:rsidR="000213BB" w:rsidRDefault="000213BB" w:rsidP="00B245D3">
            <w:pPr>
              <w:pStyle w:val="Corpodeltesto22"/>
              <w:widowControl w:val="0"/>
              <w:spacing w:line="567" w:lineRule="exact"/>
              <w:ind w:left="0" w:firstLine="0"/>
              <w:jc w:val="left"/>
              <w:rPr>
                <w:rFonts w:ascii="Verdana" w:hAnsi="Verdana"/>
                <w:sz w:val="20"/>
              </w:rPr>
            </w:pPr>
            <w:r>
              <w:rPr>
                <w:rFonts w:ascii="Verdana" w:hAnsi="Verdana"/>
                <w:sz w:val="20"/>
              </w:rPr>
              <w:t>Primo Referendario</w:t>
            </w:r>
          </w:p>
        </w:tc>
      </w:tr>
      <w:tr w:rsidR="00DE0891" w:rsidRPr="006E3C8C" w:rsidTr="0031255B">
        <w:tc>
          <w:tcPr>
            <w:tcW w:w="3640" w:type="dxa"/>
            <w:vAlign w:val="center"/>
          </w:tcPr>
          <w:p w:rsidR="00DE0891" w:rsidRPr="000E7703" w:rsidRDefault="00F74F98" w:rsidP="0031255B">
            <w:pPr>
              <w:pStyle w:val="Corpodeltesto22"/>
              <w:widowControl w:val="0"/>
              <w:spacing w:line="567" w:lineRule="exact"/>
              <w:ind w:left="0" w:firstLine="0"/>
              <w:jc w:val="left"/>
              <w:rPr>
                <w:rFonts w:ascii="Verdana" w:hAnsi="Verdana"/>
                <w:sz w:val="20"/>
              </w:rPr>
            </w:pPr>
            <w:r>
              <w:rPr>
                <w:rFonts w:ascii="Verdana" w:hAnsi="Verdana"/>
                <w:sz w:val="20"/>
              </w:rPr>
              <w:t>Angelo Maria QUAGLINI</w:t>
            </w:r>
          </w:p>
        </w:tc>
        <w:tc>
          <w:tcPr>
            <w:tcW w:w="3554" w:type="dxa"/>
            <w:vAlign w:val="center"/>
          </w:tcPr>
          <w:p w:rsidR="00DE0891" w:rsidRPr="000E7703" w:rsidRDefault="00F74F98" w:rsidP="0031255B">
            <w:pPr>
              <w:pStyle w:val="Corpodeltesto22"/>
              <w:widowControl w:val="0"/>
              <w:spacing w:line="567" w:lineRule="exact"/>
              <w:ind w:left="0" w:firstLine="0"/>
              <w:jc w:val="left"/>
              <w:rPr>
                <w:rFonts w:ascii="Verdana" w:hAnsi="Verdana"/>
                <w:sz w:val="20"/>
              </w:rPr>
            </w:pPr>
            <w:r>
              <w:rPr>
                <w:rFonts w:ascii="Verdana" w:hAnsi="Verdana"/>
                <w:sz w:val="20"/>
              </w:rPr>
              <w:t>Referendario</w:t>
            </w:r>
          </w:p>
        </w:tc>
      </w:tr>
    </w:tbl>
    <w:p w:rsidR="003B2366" w:rsidRDefault="003B2366" w:rsidP="00C54196">
      <w:pPr>
        <w:widowControl w:val="0"/>
        <w:spacing w:after="0" w:line="567" w:lineRule="exact"/>
        <w:ind w:firstLine="539"/>
        <w:jc w:val="both"/>
        <w:rPr>
          <w:rFonts w:ascii="Verdana" w:hAnsi="Verdana"/>
          <w:sz w:val="20"/>
          <w:szCs w:val="20"/>
        </w:rPr>
      </w:pPr>
      <w:r>
        <w:rPr>
          <w:rFonts w:ascii="Verdana" w:hAnsi="Verdana"/>
          <w:sz w:val="20"/>
          <w:szCs w:val="20"/>
        </w:rPr>
        <w:t xml:space="preserve">VISTO </w:t>
      </w:r>
      <w:r w:rsidRPr="00C54196">
        <w:rPr>
          <w:rFonts w:ascii="Verdana" w:hAnsi="Verdana" w:cs="Verdana"/>
          <w:sz w:val="20"/>
        </w:rPr>
        <w:t>l’art</w:t>
      </w:r>
      <w:r>
        <w:rPr>
          <w:rFonts w:ascii="Verdana" w:hAnsi="Verdana"/>
          <w:sz w:val="20"/>
          <w:szCs w:val="20"/>
        </w:rPr>
        <w:t>. 100, comma 2, della Costituzione;</w:t>
      </w:r>
    </w:p>
    <w:p w:rsidR="003B2366" w:rsidRDefault="003B2366" w:rsidP="00C54196">
      <w:pPr>
        <w:widowControl w:val="0"/>
        <w:spacing w:after="0" w:line="567" w:lineRule="exact"/>
        <w:ind w:firstLine="540"/>
        <w:jc w:val="both"/>
        <w:rPr>
          <w:rFonts w:ascii="Verdana" w:hAnsi="Verdana"/>
          <w:sz w:val="20"/>
          <w:szCs w:val="20"/>
        </w:rPr>
      </w:pPr>
      <w:r w:rsidRPr="00C54196">
        <w:rPr>
          <w:rFonts w:ascii="Verdana" w:hAnsi="Verdana" w:cs="Verdana"/>
          <w:sz w:val="20"/>
        </w:rPr>
        <w:t>VISTO il T.U. delle leggi sull’ordinamento della Corte dei conti, approvato con R.D. 12 luglio 1934, n. 1214 e le successive</w:t>
      </w:r>
      <w:r>
        <w:rPr>
          <w:rFonts w:ascii="Verdana" w:hAnsi="Verdana"/>
          <w:sz w:val="20"/>
          <w:szCs w:val="20"/>
        </w:rPr>
        <w:t xml:space="preserve"> modificazioni ed integrazioni;</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legge 14 gennaio 1994, n. 20, il decreto-legge 23 ottobre 1996, n. 543, convertito dalla legge 20 dicembre 1996, n. 639 e l’art. 27 della legge 24 novembre 2000, n. 340;</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VISTO il Regolamento per l’organizzazione delle funzioni di controllo della Corte dei conti e successive modificazioni ed integrazioni;</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legge costituzionale 18 ottobre 2001, n. 3;</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lastRenderedPageBreak/>
        <w:t>VISTA la legge 5 giugno 2003, n. 131, relativa alle “</w:t>
      </w:r>
      <w:r>
        <w:rPr>
          <w:rFonts w:ascii="Verdana" w:hAnsi="Verdana"/>
          <w:i/>
          <w:sz w:val="20"/>
          <w:szCs w:val="20"/>
        </w:rPr>
        <w:t>Disposizioni per l’adeguamento dell’ordinamento della Repubblica alla legge costituzionale 18 ottobre 2001, n. 3</w:t>
      </w:r>
      <w:r>
        <w:rPr>
          <w:rFonts w:ascii="Verdana" w:hAnsi="Verdana"/>
          <w:sz w:val="20"/>
          <w:szCs w:val="20"/>
        </w:rPr>
        <w:t>”;</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Sezione delle Autonomie, del 4 giugno 2009, n. 9, recante “</w:t>
      </w:r>
      <w:r>
        <w:rPr>
          <w:rFonts w:ascii="Verdana" w:hAnsi="Verdana"/>
          <w:i/>
          <w:sz w:val="20"/>
          <w:szCs w:val="20"/>
        </w:rPr>
        <w:t>Modifiche ed integrazioni degli indirizzi e criteri generali per l’esercizio dell’attività consultiva da parte delle Sezioni regionali di controllo</w:t>
      </w:r>
      <w:r>
        <w:rPr>
          <w:rFonts w:ascii="Verdana" w:hAnsi="Verdana"/>
          <w:sz w:val="20"/>
          <w:szCs w:val="20"/>
        </w:rPr>
        <w:t xml:space="preserve">”; </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Sezioni Riunite, del 26 marzo 2010, n. 8, recante “</w:t>
      </w:r>
      <w:r>
        <w:rPr>
          <w:rFonts w:ascii="Verdana" w:hAnsi="Verdana"/>
          <w:i/>
          <w:sz w:val="20"/>
          <w:szCs w:val="20"/>
        </w:rPr>
        <w:t>Pronuncia di orientamento generale</w:t>
      </w:r>
      <w:r>
        <w:rPr>
          <w:rFonts w:ascii="Verdana" w:hAnsi="Verdana"/>
          <w:sz w:val="20"/>
          <w:szCs w:val="20"/>
        </w:rPr>
        <w:t>” sull’attività consultiva;</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VISTA la delibera della Corte dei conti, Sezioni Riunite, del 21 ottobre e 8 novembre 2010, n. 54;</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V</w:t>
      </w:r>
      <w:r w:rsidR="000406FD">
        <w:rPr>
          <w:rFonts w:ascii="Verdana" w:hAnsi="Verdana"/>
          <w:sz w:val="20"/>
          <w:szCs w:val="20"/>
        </w:rPr>
        <w:t>ISTO il decreto del 22 giugno 2016</w:t>
      </w:r>
      <w:r>
        <w:rPr>
          <w:rFonts w:ascii="Verdana" w:hAnsi="Verdana"/>
          <w:sz w:val="20"/>
          <w:szCs w:val="20"/>
        </w:rPr>
        <w:t>,</w:t>
      </w:r>
      <w:r w:rsidR="000406FD">
        <w:rPr>
          <w:rFonts w:ascii="Verdana" w:hAnsi="Verdana"/>
          <w:sz w:val="20"/>
          <w:szCs w:val="20"/>
        </w:rPr>
        <w:t xml:space="preserve"> n. 7/2016,</w:t>
      </w:r>
      <w:r>
        <w:rPr>
          <w:rFonts w:ascii="Verdana" w:hAnsi="Verdana"/>
          <w:sz w:val="20"/>
          <w:szCs w:val="20"/>
        </w:rPr>
        <w:t xml:space="preserve"> </w:t>
      </w:r>
      <w:r>
        <w:rPr>
          <w:rFonts w:ascii="Verdana" w:hAnsi="Verdana" w:cs="Arial"/>
          <w:sz w:val="20"/>
          <w:szCs w:val="24"/>
        </w:rPr>
        <w:t xml:space="preserve">con cui il Presidente di Sezione ha assegnato le </w:t>
      </w:r>
      <w:r w:rsidR="002A00D3">
        <w:rPr>
          <w:rFonts w:ascii="Verdana" w:hAnsi="Verdana" w:cs="Arial"/>
          <w:sz w:val="20"/>
          <w:szCs w:val="24"/>
        </w:rPr>
        <w:t xml:space="preserve">competenze al Consigliere </w:t>
      </w:r>
      <w:r>
        <w:rPr>
          <w:rFonts w:ascii="Verdana" w:hAnsi="Verdana" w:cs="Arial"/>
          <w:sz w:val="20"/>
          <w:szCs w:val="24"/>
        </w:rPr>
        <w:t>Antonio Dandolo;</w:t>
      </w:r>
    </w:p>
    <w:p w:rsidR="003B2366" w:rsidRDefault="003B2366" w:rsidP="00C54196">
      <w:pPr>
        <w:widowControl w:val="0"/>
        <w:spacing w:after="0" w:line="567" w:lineRule="exact"/>
        <w:ind w:firstLine="540"/>
        <w:jc w:val="both"/>
        <w:rPr>
          <w:rFonts w:ascii="Verdana" w:hAnsi="Verdana" w:cs="Arial"/>
          <w:sz w:val="20"/>
          <w:szCs w:val="24"/>
        </w:rPr>
      </w:pPr>
      <w:r>
        <w:rPr>
          <w:rFonts w:ascii="Verdana" w:hAnsi="Verdana" w:cs="Verdana"/>
          <w:sz w:val="20"/>
        </w:rPr>
        <w:t xml:space="preserve">VISTA la deliberazione del 18 febbraio 2016, n. 38/2016/INPR, con la quale la Sezione regionale di controllo per l’Abruzzo ha approvato il </w:t>
      </w:r>
      <w:r>
        <w:rPr>
          <w:rFonts w:ascii="Verdana" w:hAnsi="Verdana" w:cs="Verdana"/>
          <w:i/>
          <w:sz w:val="20"/>
        </w:rPr>
        <w:t>“Programma di controllo sulla gestione per l’anno 2016”</w:t>
      </w:r>
      <w:r>
        <w:rPr>
          <w:rFonts w:ascii="Verdana" w:hAnsi="Verdana" w:cs="Verdana"/>
          <w:sz w:val="20"/>
        </w:rPr>
        <w:t>;</w:t>
      </w:r>
    </w:p>
    <w:p w:rsidR="003B2366" w:rsidRDefault="000406FD" w:rsidP="00C54196">
      <w:pPr>
        <w:widowControl w:val="0"/>
        <w:spacing w:after="0" w:line="567" w:lineRule="exact"/>
        <w:ind w:firstLine="540"/>
        <w:jc w:val="both"/>
        <w:rPr>
          <w:rFonts w:ascii="Verdana" w:hAnsi="Verdana" w:cs="Arial"/>
          <w:sz w:val="20"/>
          <w:szCs w:val="24"/>
        </w:rPr>
      </w:pPr>
      <w:r>
        <w:rPr>
          <w:rFonts w:ascii="Verdana" w:hAnsi="Verdana" w:cs="Arial"/>
          <w:sz w:val="20"/>
          <w:szCs w:val="24"/>
        </w:rPr>
        <w:t>VISTO il decreto del 13 ottobre</w:t>
      </w:r>
      <w:r w:rsidR="003B2366">
        <w:rPr>
          <w:rFonts w:ascii="Verdana" w:hAnsi="Verdana" w:cs="Arial"/>
          <w:sz w:val="20"/>
          <w:szCs w:val="24"/>
        </w:rPr>
        <w:t xml:space="preserve"> 2016, n. </w:t>
      </w:r>
      <w:r>
        <w:rPr>
          <w:rFonts w:ascii="Verdana" w:hAnsi="Verdana" w:cs="Arial"/>
          <w:sz w:val="20"/>
          <w:szCs w:val="24"/>
        </w:rPr>
        <w:t>9</w:t>
      </w:r>
      <w:r w:rsidR="003B2366">
        <w:rPr>
          <w:rFonts w:ascii="Verdana" w:hAnsi="Verdana" w:cs="Arial"/>
          <w:sz w:val="20"/>
          <w:szCs w:val="24"/>
        </w:rPr>
        <w:t>/2016, con cui il Presidente ha decretato, tra l’altro, che l’assegnazione delle richieste di parere, pervenute a questa Sezione ai sensi dell’art. 7, comma 8, della legge 5 giugno 2003, n. 131, segua il principio della rotazione tra i Magistrati, in base all’ordine cronologico di arrivo delle richieste medesime</w:t>
      </w:r>
      <w:r w:rsidR="002A00D3">
        <w:rPr>
          <w:rFonts w:ascii="Verdana" w:hAnsi="Verdana" w:cs="Arial"/>
          <w:sz w:val="20"/>
          <w:szCs w:val="24"/>
        </w:rPr>
        <w:t>;</w:t>
      </w:r>
    </w:p>
    <w:p w:rsidR="003B2366" w:rsidRDefault="000213BB" w:rsidP="00C54196">
      <w:pPr>
        <w:widowControl w:val="0"/>
        <w:spacing w:after="0" w:line="567" w:lineRule="exact"/>
        <w:ind w:firstLine="540"/>
        <w:jc w:val="both"/>
        <w:rPr>
          <w:rFonts w:ascii="Verdana" w:hAnsi="Verdana"/>
          <w:sz w:val="20"/>
          <w:szCs w:val="20"/>
        </w:rPr>
      </w:pPr>
      <w:r>
        <w:rPr>
          <w:rFonts w:ascii="Verdana" w:hAnsi="Verdana"/>
          <w:sz w:val="20"/>
          <w:szCs w:val="20"/>
        </w:rPr>
        <w:t>V</w:t>
      </w:r>
      <w:r w:rsidR="002A00D3" w:rsidRPr="00694102">
        <w:rPr>
          <w:rFonts w:ascii="Verdana" w:hAnsi="Verdana"/>
          <w:sz w:val="20"/>
          <w:szCs w:val="20"/>
        </w:rPr>
        <w:t xml:space="preserve">ISTA la richiesta di parere del </w:t>
      </w:r>
      <w:r w:rsidR="002A00D3" w:rsidRPr="00694102">
        <w:rPr>
          <w:rFonts w:ascii="Verdana" w:hAnsi="Verdana"/>
          <w:b/>
          <w:sz w:val="20"/>
          <w:szCs w:val="20"/>
        </w:rPr>
        <w:t>Si</w:t>
      </w:r>
      <w:r>
        <w:rPr>
          <w:rFonts w:ascii="Verdana" w:hAnsi="Verdana"/>
          <w:b/>
          <w:sz w:val="20"/>
          <w:szCs w:val="20"/>
        </w:rPr>
        <w:t>ndaco del Comune di Lanciano (CH</w:t>
      </w:r>
      <w:r w:rsidR="00E20915" w:rsidRPr="00694102">
        <w:rPr>
          <w:rFonts w:ascii="Verdana" w:hAnsi="Verdana"/>
          <w:b/>
          <w:sz w:val="20"/>
          <w:szCs w:val="20"/>
        </w:rPr>
        <w:t>)</w:t>
      </w:r>
      <w:r w:rsidR="002A00D3" w:rsidRPr="00694102">
        <w:rPr>
          <w:rFonts w:ascii="Verdana" w:hAnsi="Verdana"/>
          <w:sz w:val="20"/>
          <w:szCs w:val="20"/>
        </w:rPr>
        <w:t xml:space="preserve">, </w:t>
      </w:r>
      <w:r>
        <w:rPr>
          <w:rFonts w:ascii="Verdana" w:hAnsi="Verdana"/>
          <w:sz w:val="20"/>
          <w:szCs w:val="20"/>
        </w:rPr>
        <w:t>trasmessa per il tramite del Consiglio delle Autonomie Locali della Regione Abruzzo con nota del 25 ottobre 2016</w:t>
      </w:r>
      <w:r w:rsidR="002A00D3" w:rsidRPr="00694102">
        <w:rPr>
          <w:rFonts w:ascii="Verdana" w:hAnsi="Verdana"/>
          <w:sz w:val="20"/>
          <w:szCs w:val="20"/>
        </w:rPr>
        <w:t>;</w:t>
      </w:r>
    </w:p>
    <w:p w:rsidR="003B2366" w:rsidRDefault="00CB65EE" w:rsidP="00C54196">
      <w:pPr>
        <w:widowControl w:val="0"/>
        <w:spacing w:after="0" w:line="567" w:lineRule="exact"/>
        <w:ind w:firstLine="540"/>
        <w:jc w:val="both"/>
        <w:rPr>
          <w:rFonts w:ascii="Verdana" w:hAnsi="Verdana"/>
          <w:sz w:val="20"/>
          <w:szCs w:val="20"/>
        </w:rPr>
      </w:pPr>
      <w:r>
        <w:rPr>
          <w:rFonts w:ascii="Verdana" w:hAnsi="Verdana"/>
          <w:sz w:val="20"/>
          <w:szCs w:val="20"/>
        </w:rPr>
        <w:t xml:space="preserve">VISTA l’ordinanza del 28 novembre </w:t>
      </w:r>
      <w:r w:rsidR="002A00D3">
        <w:rPr>
          <w:rFonts w:ascii="Verdana" w:hAnsi="Verdana"/>
          <w:sz w:val="20"/>
          <w:szCs w:val="20"/>
        </w:rPr>
        <w:t xml:space="preserve">2016, n. </w:t>
      </w:r>
      <w:r>
        <w:rPr>
          <w:rFonts w:ascii="Verdana" w:hAnsi="Verdana"/>
          <w:sz w:val="20"/>
          <w:szCs w:val="20"/>
        </w:rPr>
        <w:t>38</w:t>
      </w:r>
      <w:r w:rsidR="003B2366">
        <w:rPr>
          <w:rFonts w:ascii="Verdana" w:hAnsi="Verdana"/>
          <w:sz w:val="20"/>
          <w:szCs w:val="20"/>
        </w:rPr>
        <w:t>/2016, con la quale il Presidente della Sezione ha deferito la questione all’esame collegiale;</w:t>
      </w:r>
    </w:p>
    <w:p w:rsidR="003B2366" w:rsidRDefault="003B2366" w:rsidP="00C54196">
      <w:pPr>
        <w:widowControl w:val="0"/>
        <w:spacing w:after="0" w:line="567" w:lineRule="exact"/>
        <w:ind w:firstLine="540"/>
        <w:jc w:val="both"/>
        <w:rPr>
          <w:rFonts w:ascii="Verdana" w:hAnsi="Verdana"/>
          <w:sz w:val="20"/>
          <w:szCs w:val="20"/>
        </w:rPr>
      </w:pPr>
      <w:r>
        <w:rPr>
          <w:rFonts w:ascii="Verdana" w:hAnsi="Verdana"/>
          <w:sz w:val="20"/>
          <w:szCs w:val="20"/>
        </w:rPr>
        <w:t>UDITO</w:t>
      </w:r>
      <w:r w:rsidR="002A00D3">
        <w:rPr>
          <w:rFonts w:ascii="Verdana" w:hAnsi="Verdana"/>
          <w:sz w:val="20"/>
          <w:szCs w:val="20"/>
        </w:rPr>
        <w:t xml:space="preserve"> il relatore, Consigliere </w:t>
      </w:r>
      <w:r w:rsidR="00966C5B">
        <w:rPr>
          <w:rFonts w:ascii="Verdana" w:hAnsi="Verdana"/>
          <w:sz w:val="20"/>
          <w:szCs w:val="20"/>
        </w:rPr>
        <w:t>Antonio Dandolo;</w:t>
      </w:r>
    </w:p>
    <w:p w:rsidR="003B2366" w:rsidRDefault="003B2366" w:rsidP="00C54196">
      <w:pPr>
        <w:widowControl w:val="0"/>
        <w:spacing w:after="0" w:line="567" w:lineRule="exact"/>
        <w:jc w:val="center"/>
        <w:rPr>
          <w:rFonts w:ascii="Verdana" w:hAnsi="Verdana"/>
          <w:b/>
          <w:sz w:val="20"/>
        </w:rPr>
      </w:pPr>
      <w:r>
        <w:rPr>
          <w:rFonts w:ascii="Verdana" w:hAnsi="Verdana"/>
          <w:b/>
          <w:sz w:val="20"/>
        </w:rPr>
        <w:lastRenderedPageBreak/>
        <w:t>PREMESSO IN FATTO</w:t>
      </w:r>
    </w:p>
    <w:p w:rsidR="00E9425D" w:rsidRDefault="000213BB" w:rsidP="00350DFF">
      <w:pPr>
        <w:autoSpaceDE w:val="0"/>
        <w:autoSpaceDN w:val="0"/>
        <w:adjustRightInd w:val="0"/>
        <w:spacing w:after="0" w:line="567" w:lineRule="exact"/>
        <w:ind w:firstLine="708"/>
        <w:jc w:val="both"/>
        <w:rPr>
          <w:rFonts w:ascii="Verdana" w:hAnsi="Verdana"/>
          <w:sz w:val="20"/>
          <w:szCs w:val="20"/>
        </w:rPr>
      </w:pPr>
      <w:r>
        <w:rPr>
          <w:rFonts w:ascii="Verdana" w:hAnsi="Verdana"/>
          <w:sz w:val="20"/>
          <w:szCs w:val="20"/>
        </w:rPr>
        <w:t>Con nota del 25 ottobre 2016, pervenuta a questa Sezione il 26 ottobre 2016 per il tramite del Consiglio delle Autonomie Locali, il Sindaco del Comune di Lanciano, vigente l’art.</w:t>
      </w:r>
      <w:r w:rsidR="00C80C33">
        <w:rPr>
          <w:rFonts w:ascii="Verdana" w:hAnsi="Verdana"/>
          <w:sz w:val="20"/>
          <w:szCs w:val="20"/>
        </w:rPr>
        <w:t xml:space="preserve"> </w:t>
      </w:r>
      <w:r>
        <w:rPr>
          <w:rFonts w:ascii="Verdana" w:hAnsi="Verdana"/>
          <w:sz w:val="20"/>
          <w:szCs w:val="20"/>
        </w:rPr>
        <w:t>1, comma 219, della legge n. 208/2015, che ha reso indisponibili i posti dirigenziali vacanti alla data del 15 ottobre 2015, ha formulato una richiesta di parere in ordine alla possibilità per l’ente locale, allorquando verrà ripristinata, ai sensi dell’art.</w:t>
      </w:r>
      <w:r w:rsidR="00C80C33">
        <w:rPr>
          <w:rFonts w:ascii="Verdana" w:hAnsi="Verdana"/>
          <w:sz w:val="20"/>
          <w:szCs w:val="20"/>
        </w:rPr>
        <w:t xml:space="preserve"> </w:t>
      </w:r>
      <w:r>
        <w:rPr>
          <w:rFonts w:ascii="Verdana" w:hAnsi="Verdana"/>
          <w:sz w:val="20"/>
          <w:szCs w:val="20"/>
        </w:rPr>
        <w:t>1, comma 234, della legge n. 208/2015, l’ordinaria facoltà di assunzione, di procedere alla copertura a tempo indeterminato del posto di Dirigente tecnico attualmente vacante</w:t>
      </w:r>
      <w:r w:rsidR="007E3285">
        <w:rPr>
          <w:rFonts w:ascii="Verdana" w:hAnsi="Verdana"/>
          <w:sz w:val="20"/>
          <w:szCs w:val="20"/>
        </w:rPr>
        <w:t>,</w:t>
      </w:r>
      <w:r>
        <w:rPr>
          <w:rFonts w:ascii="Verdana" w:hAnsi="Verdana"/>
          <w:sz w:val="20"/>
          <w:szCs w:val="20"/>
        </w:rPr>
        <w:t xml:space="preserve"> ma che era coperto con contratto a tempo determinato ex art. 110, comma 1, del T.U.E.L</w:t>
      </w:r>
      <w:r w:rsidR="007B74FF">
        <w:rPr>
          <w:rFonts w:ascii="Verdana" w:hAnsi="Verdana"/>
          <w:sz w:val="20"/>
          <w:szCs w:val="20"/>
        </w:rPr>
        <w:t>.</w:t>
      </w:r>
      <w:r>
        <w:rPr>
          <w:rFonts w:ascii="Verdana" w:hAnsi="Verdana"/>
          <w:sz w:val="20"/>
          <w:szCs w:val="20"/>
        </w:rPr>
        <w:t xml:space="preserve"> alla data del 15 ottobre 2015. </w:t>
      </w:r>
    </w:p>
    <w:p w:rsidR="00726791" w:rsidRDefault="000213BB" w:rsidP="00350DFF">
      <w:pPr>
        <w:autoSpaceDE w:val="0"/>
        <w:autoSpaceDN w:val="0"/>
        <w:adjustRightInd w:val="0"/>
        <w:spacing w:after="0" w:line="567" w:lineRule="exact"/>
        <w:ind w:firstLine="708"/>
        <w:jc w:val="both"/>
        <w:rPr>
          <w:rFonts w:ascii="Verdana" w:hAnsi="Verdana"/>
          <w:sz w:val="20"/>
          <w:szCs w:val="20"/>
        </w:rPr>
      </w:pPr>
      <w:r>
        <w:rPr>
          <w:rFonts w:ascii="Verdana" w:hAnsi="Verdana"/>
          <w:sz w:val="20"/>
          <w:szCs w:val="20"/>
        </w:rPr>
        <w:t xml:space="preserve">Il Sindaco ha, altresì, chiesto </w:t>
      </w:r>
      <w:r w:rsidRPr="000213BB">
        <w:rPr>
          <w:rFonts w:ascii="Verdana" w:hAnsi="Verdana"/>
          <w:i/>
          <w:sz w:val="20"/>
          <w:szCs w:val="20"/>
        </w:rPr>
        <w:t>“se le ordinarie capacità assunzionali che residuano a seguito delle cessazioni verificatesi negli anni 2013, 2014 e 2015 possono essere utilizzate per la copertura del posto a tempo indeterminato alla luce dell’ultimo periodo del comma 219 dell’art. 1 della legge 208/2015”</w:t>
      </w:r>
      <w:r>
        <w:rPr>
          <w:rFonts w:ascii="Verdana" w:hAnsi="Verdana"/>
          <w:sz w:val="20"/>
          <w:szCs w:val="20"/>
        </w:rPr>
        <w:t xml:space="preserve"> e </w:t>
      </w:r>
      <w:r w:rsidRPr="000213BB">
        <w:rPr>
          <w:rFonts w:ascii="Verdana" w:hAnsi="Verdana"/>
          <w:i/>
          <w:sz w:val="20"/>
          <w:szCs w:val="20"/>
        </w:rPr>
        <w:t>“se, una volta esperite le procedure di mobilità d’ufficio e volontaria ex articoli 34 bis e 30 d.lgs. n. 165/2001, sia possibile procedere allo scorrimento della graduatoria ancora valida, il cui vincitore è stato assunto il 31.12.2015, per la copertura di altro p</w:t>
      </w:r>
      <w:r>
        <w:rPr>
          <w:rFonts w:ascii="Verdana" w:hAnsi="Verdana"/>
          <w:i/>
          <w:sz w:val="20"/>
          <w:szCs w:val="20"/>
        </w:rPr>
        <w:t>osto di dirigente tecnico</w:t>
      </w:r>
      <w:r w:rsidRPr="000213BB">
        <w:rPr>
          <w:rFonts w:ascii="Verdana" w:hAnsi="Verdana"/>
          <w:i/>
          <w:sz w:val="20"/>
          <w:szCs w:val="20"/>
        </w:rPr>
        <w:t>”</w:t>
      </w:r>
      <w:r>
        <w:rPr>
          <w:rFonts w:ascii="Verdana" w:hAnsi="Verdana"/>
          <w:sz w:val="20"/>
          <w:szCs w:val="20"/>
        </w:rPr>
        <w:t xml:space="preserve">. A tal fine, è stato precisato </w:t>
      </w:r>
      <w:r w:rsidRPr="000213BB">
        <w:rPr>
          <w:rFonts w:ascii="Verdana" w:hAnsi="Verdana"/>
          <w:i/>
          <w:sz w:val="20"/>
          <w:szCs w:val="20"/>
        </w:rPr>
        <w:t>“che il posto che si intende coprire non è stato istituito, né trasformato dopo l’indizione del concorso (l’unica operazione effettuata dal comune è stata la soppressione di un altro posto dirigenziale contestualmente all’accorpamento di due settori in un unico ambito organizzativo)</w:t>
      </w:r>
      <w:r>
        <w:rPr>
          <w:rFonts w:ascii="Verdana" w:hAnsi="Verdana"/>
          <w:i/>
          <w:sz w:val="20"/>
          <w:szCs w:val="20"/>
        </w:rPr>
        <w:t>”</w:t>
      </w:r>
      <w:r>
        <w:rPr>
          <w:rFonts w:ascii="Verdana" w:hAnsi="Verdana"/>
          <w:sz w:val="20"/>
          <w:szCs w:val="20"/>
        </w:rPr>
        <w:t>.</w:t>
      </w:r>
    </w:p>
    <w:p w:rsidR="003B2366" w:rsidRPr="00350DFF" w:rsidRDefault="00726791" w:rsidP="00C50F26">
      <w:pPr>
        <w:autoSpaceDE w:val="0"/>
        <w:autoSpaceDN w:val="0"/>
        <w:adjustRightInd w:val="0"/>
        <w:spacing w:after="0" w:line="567" w:lineRule="exact"/>
        <w:jc w:val="center"/>
        <w:rPr>
          <w:rFonts w:ascii="Verdana" w:hAnsi="Verdana"/>
          <w:b/>
          <w:sz w:val="20"/>
          <w:szCs w:val="20"/>
        </w:rPr>
      </w:pPr>
      <w:r>
        <w:rPr>
          <w:rFonts w:ascii="Verdana" w:hAnsi="Verdana"/>
          <w:b/>
          <w:sz w:val="20"/>
          <w:szCs w:val="20"/>
        </w:rPr>
        <w:t>C</w:t>
      </w:r>
      <w:r w:rsidR="003B2366" w:rsidRPr="00350DFF">
        <w:rPr>
          <w:rFonts w:ascii="Verdana" w:hAnsi="Verdana"/>
          <w:b/>
          <w:sz w:val="20"/>
          <w:szCs w:val="20"/>
        </w:rPr>
        <w:t>ONSIDERATO IN DIRITTO</w:t>
      </w:r>
    </w:p>
    <w:p w:rsidR="00E9425D" w:rsidRDefault="00E9425D" w:rsidP="00E9425D">
      <w:pPr>
        <w:autoSpaceDE w:val="0"/>
        <w:spacing w:after="0" w:line="567" w:lineRule="exact"/>
        <w:ind w:firstLine="708"/>
        <w:jc w:val="both"/>
        <w:rPr>
          <w:rFonts w:ascii="Verdana" w:hAnsi="Verdana"/>
          <w:sz w:val="20"/>
          <w:szCs w:val="20"/>
        </w:rPr>
      </w:pPr>
      <w:r>
        <w:rPr>
          <w:rFonts w:ascii="Verdana" w:hAnsi="Verdana"/>
          <w:sz w:val="20"/>
          <w:szCs w:val="20"/>
        </w:rPr>
        <w:t xml:space="preserve">Secondo ormai consolidati orientamenti assunti dalla magistratura contabile in tema di pareri da esprimere ai sensi dell’art. 7, comma 8, della legge 5 giugno 2003, n. 131, la </w:t>
      </w:r>
      <w:r>
        <w:rPr>
          <w:rFonts w:ascii="Verdana" w:hAnsi="Verdana"/>
          <w:sz w:val="20"/>
          <w:szCs w:val="20"/>
        </w:rPr>
        <w:lastRenderedPageBreak/>
        <w:t xml:space="preserve">Sezione adita per una richiesta di parere deve verificare in via preliminare se la richiesta stessa presenti i necessari requisiti di ammissibilità, sia sotto il profilo soggettivo (con riferimento alla legittimazione dell’organo richiedente), che sotto il profilo oggettivo (concernente l’attinenza dei quesiti alla materia della contabilità pubblica). </w:t>
      </w:r>
    </w:p>
    <w:p w:rsidR="00E9425D" w:rsidRDefault="00E9425D" w:rsidP="00E9425D">
      <w:pPr>
        <w:widowControl w:val="0"/>
        <w:spacing w:after="0" w:line="567" w:lineRule="exact"/>
        <w:ind w:firstLine="540"/>
        <w:jc w:val="both"/>
        <w:rPr>
          <w:rFonts w:ascii="Verdana" w:hAnsi="Verdana"/>
          <w:sz w:val="20"/>
          <w:szCs w:val="20"/>
        </w:rPr>
      </w:pPr>
      <w:r>
        <w:rPr>
          <w:rFonts w:ascii="Verdana" w:hAnsi="Verdana"/>
          <w:sz w:val="20"/>
          <w:szCs w:val="20"/>
        </w:rPr>
        <w:t>Sotto il profilo soggettivo, la legittimazione ad avvalersi della funzione consultiva è circoscritta ai soli enti esplicitamente elencati nella norma, attesa la natura speciale che tale funzione assume rispetto all’ordinaria sfera di competenze della Corte dei conti. La legittimazione alla richiesta di parere, inoltre, per i riflessi che ne possono scaturire sulla gestione finan</w:t>
      </w:r>
      <w:r w:rsidR="007E3285">
        <w:rPr>
          <w:rFonts w:ascii="Verdana" w:hAnsi="Verdana"/>
          <w:sz w:val="20"/>
          <w:szCs w:val="20"/>
        </w:rPr>
        <w:t>ziaria dell’E</w:t>
      </w:r>
      <w:r>
        <w:rPr>
          <w:rFonts w:ascii="Verdana" w:hAnsi="Verdana"/>
          <w:sz w:val="20"/>
          <w:szCs w:val="20"/>
        </w:rPr>
        <w:t>nte, deve essere riconosciuta all’organo legislativamente investito de</w:t>
      </w:r>
      <w:r w:rsidR="007E3285">
        <w:rPr>
          <w:rFonts w:ascii="Verdana" w:hAnsi="Verdana"/>
          <w:sz w:val="20"/>
          <w:szCs w:val="20"/>
        </w:rPr>
        <w:t>lla rappresentanza legale dell’E</w:t>
      </w:r>
      <w:r>
        <w:rPr>
          <w:rFonts w:ascii="Verdana" w:hAnsi="Verdana"/>
          <w:sz w:val="20"/>
          <w:szCs w:val="20"/>
        </w:rPr>
        <w:t xml:space="preserve">nte medesimo ed individuabile, di regola, nel Presidente della Giunta regionale, nel Sindaco e nel Presidente della Provincia. </w:t>
      </w:r>
    </w:p>
    <w:p w:rsidR="00E9425D" w:rsidRDefault="00E9425D" w:rsidP="00E9425D">
      <w:pPr>
        <w:widowControl w:val="0"/>
        <w:spacing w:after="0" w:line="567" w:lineRule="exact"/>
        <w:ind w:firstLine="540"/>
        <w:jc w:val="both"/>
        <w:rPr>
          <w:rFonts w:ascii="Verdana" w:hAnsi="Verdana"/>
          <w:sz w:val="20"/>
          <w:szCs w:val="20"/>
        </w:rPr>
      </w:pPr>
      <w:r>
        <w:rPr>
          <w:rFonts w:ascii="Verdana" w:hAnsi="Verdana"/>
          <w:sz w:val="20"/>
          <w:szCs w:val="20"/>
        </w:rPr>
        <w:t xml:space="preserve">La richiesta di parere in esame, provenendo dal Sindaco del Comune di Lanciano tramite il Consiglio delle Autonomie Locali, risulta quindi soggettivamente ammissibile. </w:t>
      </w:r>
    </w:p>
    <w:p w:rsidR="003B2366" w:rsidRDefault="00E9425D" w:rsidP="00E9425D">
      <w:pPr>
        <w:widowControl w:val="0"/>
        <w:spacing w:after="0" w:line="567" w:lineRule="exact"/>
        <w:ind w:firstLine="539"/>
        <w:jc w:val="both"/>
        <w:rPr>
          <w:rFonts w:ascii="Verdana" w:hAnsi="Verdana"/>
          <w:sz w:val="20"/>
          <w:szCs w:val="20"/>
        </w:rPr>
      </w:pPr>
      <w:r>
        <w:rPr>
          <w:rFonts w:ascii="Verdana" w:hAnsi="Verdana"/>
          <w:sz w:val="20"/>
          <w:szCs w:val="20"/>
        </w:rPr>
        <w:t xml:space="preserve">La stessa richiesta risulta parimenti ammissibile sotto il profilo oggettivo, essendo le questioni interpretative proposte riconducibili alla nozione di </w:t>
      </w:r>
      <w:r w:rsidRPr="00E5382E">
        <w:rPr>
          <w:rFonts w:ascii="Verdana" w:hAnsi="Verdana"/>
          <w:i/>
          <w:sz w:val="20"/>
          <w:szCs w:val="20"/>
        </w:rPr>
        <w:t>“contabilità̀ pubblica”</w:t>
      </w:r>
      <w:r>
        <w:rPr>
          <w:rFonts w:ascii="Verdana" w:hAnsi="Verdana"/>
          <w:sz w:val="20"/>
          <w:szCs w:val="20"/>
        </w:rPr>
        <w:t xml:space="preserve">, strumentale all’esercizio della funzione consultiva delle Sezioni regionali di controllo della Corte dei conti, e sussistendo, altresì, tutti gli altri requisiti individuati nelle pronunce di orientamento generale, </w:t>
      </w:r>
      <w:r w:rsidR="00E5382E">
        <w:rPr>
          <w:rFonts w:ascii="Verdana" w:hAnsi="Verdana"/>
          <w:sz w:val="20"/>
          <w:szCs w:val="20"/>
        </w:rPr>
        <w:t>rispettivamente, delle Sezioni R</w:t>
      </w:r>
      <w:r>
        <w:rPr>
          <w:rFonts w:ascii="Verdana" w:hAnsi="Verdana"/>
          <w:sz w:val="20"/>
          <w:szCs w:val="20"/>
        </w:rPr>
        <w:t>iunite in sede di controllo (in particolare la deliberazione del 17 novembre 2010, n. 54) e della Sezione delle Autonomie (in particolare le deliberazioni</w:t>
      </w:r>
      <w:r w:rsidR="0039297F">
        <w:rPr>
          <w:rFonts w:ascii="Verdana" w:hAnsi="Verdana"/>
          <w:sz w:val="20"/>
          <w:szCs w:val="20"/>
        </w:rPr>
        <w:t xml:space="preserve"> del 10 marzo 2006, n. 5, del 3 luglio</w:t>
      </w:r>
      <w:r>
        <w:rPr>
          <w:rFonts w:ascii="Verdana" w:hAnsi="Verdana"/>
          <w:sz w:val="20"/>
          <w:szCs w:val="20"/>
        </w:rPr>
        <w:t xml:space="preserve"> 2009, n. 9 e del 19 febbraio 2014, n. 3).</w:t>
      </w:r>
    </w:p>
    <w:p w:rsidR="00E9425D" w:rsidRDefault="00E9425D" w:rsidP="00E9425D">
      <w:pPr>
        <w:autoSpaceDE w:val="0"/>
        <w:autoSpaceDN w:val="0"/>
        <w:adjustRightInd w:val="0"/>
        <w:spacing w:after="0" w:line="567" w:lineRule="exact"/>
        <w:jc w:val="center"/>
        <w:rPr>
          <w:rFonts w:ascii="Verdana" w:hAnsi="Verdana"/>
          <w:b/>
          <w:sz w:val="20"/>
          <w:szCs w:val="20"/>
        </w:rPr>
      </w:pPr>
      <w:r w:rsidRPr="00E9425D">
        <w:rPr>
          <w:rFonts w:ascii="Verdana" w:hAnsi="Verdana"/>
          <w:b/>
          <w:sz w:val="20"/>
          <w:szCs w:val="20"/>
        </w:rPr>
        <w:t>MERITO</w:t>
      </w:r>
    </w:p>
    <w:p w:rsidR="00FA440F" w:rsidRPr="00D74131" w:rsidRDefault="00FA440F" w:rsidP="00FA440F">
      <w:pPr>
        <w:widowControl w:val="0"/>
        <w:spacing w:after="0" w:line="567" w:lineRule="exact"/>
        <w:ind w:firstLine="539"/>
        <w:jc w:val="both"/>
        <w:rPr>
          <w:rFonts w:ascii="Verdana" w:hAnsi="Verdana"/>
          <w:sz w:val="20"/>
          <w:szCs w:val="20"/>
        </w:rPr>
      </w:pPr>
      <w:r w:rsidRPr="00FA440F">
        <w:rPr>
          <w:rFonts w:ascii="Verdana" w:hAnsi="Verdana"/>
          <w:sz w:val="20"/>
          <w:szCs w:val="20"/>
        </w:rPr>
        <w:t xml:space="preserve">La richiesta di parere investe la corretta interpretazione di cui al comma 219 </w:t>
      </w:r>
      <w:r w:rsidR="00D74131">
        <w:rPr>
          <w:rFonts w:ascii="Verdana" w:hAnsi="Verdana"/>
          <w:sz w:val="20"/>
          <w:szCs w:val="20"/>
        </w:rPr>
        <w:t xml:space="preserve">    </w:t>
      </w:r>
      <w:r w:rsidRPr="00FA440F">
        <w:rPr>
          <w:rFonts w:ascii="Verdana" w:hAnsi="Verdana"/>
          <w:sz w:val="20"/>
          <w:szCs w:val="20"/>
        </w:rPr>
        <w:t>dell’art. 1 della legge n. 208/2015 che recita:</w:t>
      </w:r>
      <w:r>
        <w:rPr>
          <w:rFonts w:ascii="Verdana" w:hAnsi="Verdana"/>
          <w:sz w:val="20"/>
          <w:szCs w:val="20"/>
        </w:rPr>
        <w:t xml:space="preserve"> </w:t>
      </w:r>
      <w:r w:rsidR="00D329B7">
        <w:rPr>
          <w:rFonts w:ascii="Verdana" w:hAnsi="Verdana"/>
          <w:i/>
          <w:spacing w:val="18"/>
          <w:sz w:val="20"/>
          <w:szCs w:val="20"/>
        </w:rPr>
        <w:t>“</w:t>
      </w:r>
      <w:r w:rsidR="006A2D0A">
        <w:rPr>
          <w:rFonts w:ascii="Verdana" w:hAnsi="Verdana"/>
          <w:i/>
          <w:spacing w:val="18"/>
          <w:sz w:val="20"/>
          <w:szCs w:val="20"/>
        </w:rPr>
        <w:t xml:space="preserve">(…) </w:t>
      </w:r>
      <w:r w:rsidR="00FD32F3">
        <w:rPr>
          <w:rFonts w:ascii="Verdana" w:hAnsi="Verdana"/>
          <w:i/>
          <w:sz w:val="20"/>
          <w:szCs w:val="20"/>
        </w:rPr>
        <w:t>N</w:t>
      </w:r>
      <w:r w:rsidRPr="00FA440F">
        <w:rPr>
          <w:rFonts w:ascii="Verdana" w:hAnsi="Verdana"/>
          <w:i/>
          <w:sz w:val="20"/>
          <w:szCs w:val="20"/>
        </w:rPr>
        <w:t xml:space="preserve">elle more dell’adozione dei decreti </w:t>
      </w:r>
      <w:r w:rsidRPr="00FA440F">
        <w:rPr>
          <w:rFonts w:ascii="Verdana" w:hAnsi="Verdana"/>
          <w:i/>
          <w:sz w:val="20"/>
          <w:szCs w:val="20"/>
        </w:rPr>
        <w:lastRenderedPageBreak/>
        <w:t>legislativi attuativi degli articoli 8, 11 e 17</w:t>
      </w:r>
      <w:r w:rsidR="0041466B">
        <w:rPr>
          <w:rFonts w:ascii="Verdana" w:hAnsi="Verdana"/>
          <w:i/>
          <w:sz w:val="20"/>
          <w:szCs w:val="20"/>
        </w:rPr>
        <w:t xml:space="preserve"> della legge 7 agosto 2015, n. </w:t>
      </w:r>
      <w:r w:rsidRPr="00FA440F">
        <w:rPr>
          <w:rFonts w:ascii="Verdana" w:hAnsi="Verdana"/>
          <w:i/>
          <w:sz w:val="20"/>
          <w:szCs w:val="20"/>
        </w:rPr>
        <w:t>124, e dell'attuazione dei commi 422, 423, 424 e 425 dell'articol</w:t>
      </w:r>
      <w:r w:rsidR="00A90B54">
        <w:rPr>
          <w:rFonts w:ascii="Verdana" w:hAnsi="Verdana"/>
          <w:i/>
          <w:sz w:val="20"/>
          <w:szCs w:val="20"/>
        </w:rPr>
        <w:t xml:space="preserve">o 1 </w:t>
      </w:r>
      <w:r w:rsidRPr="00FA440F">
        <w:rPr>
          <w:rFonts w:ascii="Verdana" w:hAnsi="Verdana"/>
          <w:i/>
          <w:sz w:val="20"/>
          <w:szCs w:val="20"/>
        </w:rPr>
        <w:t>della legge 23 dicembre 2014, n. 190, e successive modificazioni, sono resi indisponibili i posti dirigenziali di prima e seconda fascia delle amministrazioni pubbliche di cui all'articolo 1, comma 2, del decreto legislativo 30 marzo 2001, n. 16</w:t>
      </w:r>
      <w:r w:rsidR="0041466B">
        <w:rPr>
          <w:rFonts w:ascii="Verdana" w:hAnsi="Verdana"/>
          <w:i/>
          <w:sz w:val="20"/>
          <w:szCs w:val="20"/>
        </w:rPr>
        <w:t>5, e successive modificazioni,</w:t>
      </w:r>
      <w:r w:rsidRPr="00FA440F">
        <w:rPr>
          <w:rFonts w:ascii="Verdana" w:hAnsi="Verdana"/>
          <w:i/>
          <w:sz w:val="20"/>
          <w:szCs w:val="20"/>
        </w:rPr>
        <w:t xml:space="preserve"> come rideterminati in app</w:t>
      </w:r>
      <w:r w:rsidR="0041466B">
        <w:rPr>
          <w:rFonts w:ascii="Verdana" w:hAnsi="Verdana"/>
          <w:i/>
          <w:sz w:val="20"/>
          <w:szCs w:val="20"/>
        </w:rPr>
        <w:t>licazione dell'articolo 2 del</w:t>
      </w:r>
      <w:r w:rsidRPr="00FA440F">
        <w:rPr>
          <w:rFonts w:ascii="Verdana" w:hAnsi="Verdana"/>
          <w:i/>
          <w:sz w:val="20"/>
          <w:szCs w:val="20"/>
        </w:rPr>
        <w:t xml:space="preserve"> decreto-legge 6 luglio 2012, n. 95, convertito, con modificazioni, dalla legge 7 agosto 2012, n. 135, e successive modificazioni, vacanti alla data del 15 ottobre 2015, tenendo comunque conto del numero de</w:t>
      </w:r>
      <w:r w:rsidR="0041466B">
        <w:rPr>
          <w:rFonts w:ascii="Verdana" w:hAnsi="Verdana"/>
          <w:i/>
          <w:sz w:val="20"/>
          <w:szCs w:val="20"/>
        </w:rPr>
        <w:t>i</w:t>
      </w:r>
      <w:r w:rsidRPr="00FA440F">
        <w:rPr>
          <w:rFonts w:ascii="Verdana" w:hAnsi="Verdana"/>
          <w:i/>
          <w:sz w:val="20"/>
          <w:szCs w:val="20"/>
        </w:rPr>
        <w:t xml:space="preserve"> dirigenti in servizio senza incarico o con incarico di studio e del personale dirigenziale in posizione di comando, distacco, fuor</w:t>
      </w:r>
      <w:r w:rsidR="0041466B">
        <w:rPr>
          <w:rFonts w:ascii="Verdana" w:hAnsi="Verdana"/>
          <w:i/>
          <w:sz w:val="20"/>
          <w:szCs w:val="20"/>
        </w:rPr>
        <w:t>i</w:t>
      </w:r>
      <w:r w:rsidRPr="00FA440F">
        <w:rPr>
          <w:rFonts w:ascii="Verdana" w:hAnsi="Verdana"/>
          <w:i/>
          <w:sz w:val="20"/>
          <w:szCs w:val="20"/>
        </w:rPr>
        <w:t xml:space="preserve"> ruolo o aspettativa. Gli incarichi conferit</w:t>
      </w:r>
      <w:r w:rsidR="0041466B">
        <w:rPr>
          <w:rFonts w:ascii="Verdana" w:hAnsi="Verdana"/>
          <w:i/>
          <w:sz w:val="20"/>
          <w:szCs w:val="20"/>
        </w:rPr>
        <w:t>i</w:t>
      </w:r>
      <w:r w:rsidRPr="00FA440F">
        <w:rPr>
          <w:rFonts w:ascii="Verdana" w:hAnsi="Verdana"/>
          <w:i/>
          <w:sz w:val="20"/>
          <w:szCs w:val="20"/>
        </w:rPr>
        <w:t xml:space="preserve"> a copertura dei posti dirigenziali di cui al primo periodo dopo la data ivi indicata e fino alla data di entrata in vigore della presente legge cessano di diritto alla medesima data di entrata in vigore, con risoluzione dei relativi contratti. Sono fatti salvi i casi per i quali, alla data del 15 ottobre 2015, sia stato avviato il procedimento per il conferimento dell'incarico e, anche dopo la data di entrata in vigore della presente legge, quelli concernenti i posti dirigenziali in enti pubblici nazionali o strutture organizzative istituiti dopo i</w:t>
      </w:r>
      <w:r w:rsidR="00A50ED8">
        <w:rPr>
          <w:rFonts w:ascii="Verdana" w:hAnsi="Verdana"/>
          <w:i/>
          <w:sz w:val="20"/>
          <w:szCs w:val="20"/>
        </w:rPr>
        <w:t>l</w:t>
      </w:r>
      <w:r w:rsidRPr="00FA440F">
        <w:rPr>
          <w:rFonts w:ascii="Verdana" w:hAnsi="Verdana"/>
          <w:i/>
          <w:sz w:val="20"/>
          <w:szCs w:val="20"/>
        </w:rPr>
        <w:t xml:space="preserve"> 31 dicembre 2011, i posti dirigenziali specificamente previsti dalla legge o appartenenti a strutture organizzative oggetto di riordino negli anni 2014 e 2015 con riduzione del numero dei posti e, comunque, gli incarichi conferiti a dirigenti assunt</w:t>
      </w:r>
      <w:r w:rsidR="00A50ED8">
        <w:rPr>
          <w:rFonts w:ascii="Verdana" w:hAnsi="Verdana"/>
          <w:i/>
          <w:sz w:val="20"/>
          <w:szCs w:val="20"/>
        </w:rPr>
        <w:t>i</w:t>
      </w:r>
      <w:r w:rsidRPr="00FA440F">
        <w:rPr>
          <w:rFonts w:ascii="Verdana" w:hAnsi="Verdana"/>
          <w:i/>
          <w:sz w:val="20"/>
          <w:szCs w:val="20"/>
        </w:rPr>
        <w:t xml:space="preserve"> per concorso pubblico bandito prima della data di entrata in vigore della presente legge o da espletare a norma del comma 216, oppure in applicazione delle procedure di mobilità previste dalla legge. In ogni altro caso, in ciascuna amministrazione possono essere conferiti incarichi dirigenziali solo nel rispetto del numero complessivo dei posti resi indisponib</w:t>
      </w:r>
      <w:r w:rsidR="00D74131">
        <w:rPr>
          <w:rFonts w:ascii="Verdana" w:hAnsi="Verdana"/>
          <w:i/>
          <w:sz w:val="20"/>
          <w:szCs w:val="20"/>
        </w:rPr>
        <w:t>ili ai sensi del presente comma</w:t>
      </w:r>
      <w:r w:rsidRPr="00FA440F">
        <w:rPr>
          <w:rFonts w:ascii="Verdana" w:hAnsi="Verdana"/>
          <w:i/>
          <w:sz w:val="20"/>
          <w:szCs w:val="20"/>
        </w:rPr>
        <w:t>”</w:t>
      </w:r>
      <w:r w:rsidR="00D74131">
        <w:rPr>
          <w:rFonts w:ascii="Verdana" w:hAnsi="Verdana"/>
          <w:sz w:val="20"/>
          <w:szCs w:val="20"/>
        </w:rPr>
        <w:t>.</w:t>
      </w:r>
    </w:p>
    <w:p w:rsidR="00FA440F" w:rsidRPr="003B4767" w:rsidRDefault="00FA440F" w:rsidP="003E3625">
      <w:pPr>
        <w:widowControl w:val="0"/>
        <w:spacing w:after="0" w:line="567" w:lineRule="exact"/>
        <w:ind w:firstLine="539"/>
        <w:jc w:val="both"/>
        <w:rPr>
          <w:rFonts w:ascii="Verdana" w:hAnsi="Verdana"/>
          <w:i/>
          <w:sz w:val="20"/>
          <w:szCs w:val="20"/>
        </w:rPr>
      </w:pPr>
      <w:r w:rsidRPr="00FA440F">
        <w:rPr>
          <w:rFonts w:ascii="Verdana" w:hAnsi="Verdana" w:cs="Tahoma"/>
          <w:sz w:val="20"/>
          <w:szCs w:val="20"/>
        </w:rPr>
        <w:t>La formulazione dell’articolo in parola ha dato luogo a dubbi interpretativi e</w:t>
      </w:r>
      <w:r w:rsidR="00FD32F3">
        <w:rPr>
          <w:rFonts w:ascii="Verdana" w:hAnsi="Verdana" w:cs="Tahoma"/>
          <w:sz w:val="20"/>
          <w:szCs w:val="20"/>
        </w:rPr>
        <w:t>,</w:t>
      </w:r>
      <w:r w:rsidRPr="00FA440F">
        <w:rPr>
          <w:rFonts w:ascii="Verdana" w:hAnsi="Verdana" w:cs="Tahoma"/>
          <w:sz w:val="20"/>
          <w:szCs w:val="20"/>
        </w:rPr>
        <w:t xml:space="preserve"> su varie </w:t>
      </w:r>
      <w:r w:rsidRPr="00FA440F">
        <w:rPr>
          <w:rFonts w:ascii="Verdana" w:hAnsi="Verdana" w:cs="Tahoma"/>
          <w:sz w:val="20"/>
          <w:szCs w:val="20"/>
        </w:rPr>
        <w:lastRenderedPageBreak/>
        <w:t>questioni emerse</w:t>
      </w:r>
      <w:r w:rsidR="00FD32F3">
        <w:rPr>
          <w:rFonts w:ascii="Verdana" w:hAnsi="Verdana" w:cs="Tahoma"/>
          <w:sz w:val="20"/>
          <w:szCs w:val="20"/>
        </w:rPr>
        <w:t>,</w:t>
      </w:r>
      <w:r w:rsidRPr="00FA440F">
        <w:rPr>
          <w:rFonts w:ascii="Verdana" w:hAnsi="Verdana" w:cs="Tahoma"/>
          <w:sz w:val="20"/>
          <w:szCs w:val="20"/>
        </w:rPr>
        <w:t xml:space="preserve"> hanno avuto modo di esprimere pareri più Sez</w:t>
      </w:r>
      <w:r w:rsidR="00D74131">
        <w:rPr>
          <w:rFonts w:ascii="Verdana" w:hAnsi="Verdana" w:cs="Tahoma"/>
          <w:sz w:val="20"/>
          <w:szCs w:val="20"/>
        </w:rPr>
        <w:t>ioni regionali della Corte dei conti ed anche la Sezione delle A</w:t>
      </w:r>
      <w:r w:rsidRPr="00FA440F">
        <w:rPr>
          <w:rFonts w:ascii="Verdana" w:hAnsi="Verdana" w:cs="Tahoma"/>
          <w:sz w:val="20"/>
          <w:szCs w:val="20"/>
        </w:rPr>
        <w:t>utonomie. In particolare</w:t>
      </w:r>
      <w:r w:rsidR="006A2D0A">
        <w:rPr>
          <w:rFonts w:ascii="Verdana" w:hAnsi="Verdana" w:cs="Tahoma"/>
          <w:sz w:val="20"/>
          <w:szCs w:val="20"/>
        </w:rPr>
        <w:t>,</w:t>
      </w:r>
      <w:r w:rsidRPr="00FA440F">
        <w:rPr>
          <w:rFonts w:ascii="Verdana" w:hAnsi="Verdana" w:cs="Tahoma"/>
          <w:sz w:val="20"/>
          <w:szCs w:val="20"/>
        </w:rPr>
        <w:t xml:space="preserve"> la Sezione regionale per la Lombardia, con il parere n.</w:t>
      </w:r>
      <w:r w:rsidR="00D74131">
        <w:rPr>
          <w:rFonts w:ascii="Verdana" w:hAnsi="Verdana" w:cs="Tahoma"/>
          <w:sz w:val="20"/>
          <w:szCs w:val="20"/>
        </w:rPr>
        <w:t xml:space="preserve"> </w:t>
      </w:r>
      <w:r w:rsidRPr="00FA440F">
        <w:rPr>
          <w:rFonts w:ascii="Verdana" w:hAnsi="Verdana" w:cs="Tahoma"/>
          <w:sz w:val="20"/>
          <w:szCs w:val="20"/>
        </w:rPr>
        <w:t>209 del 19 luglio 2016, nell’esaminare positivamente la questione relativa all’applicabilità della disposizione succitata anche agli enti locali, ha affermato quanto segue:</w:t>
      </w:r>
      <w:r w:rsidR="00A50ED8">
        <w:rPr>
          <w:rFonts w:ascii="Verdana" w:hAnsi="Verdana" w:cs="Tahoma"/>
          <w:sz w:val="20"/>
          <w:szCs w:val="20"/>
        </w:rPr>
        <w:t xml:space="preserve"> </w:t>
      </w:r>
      <w:r w:rsidRPr="003B4767">
        <w:rPr>
          <w:rFonts w:ascii="Verdana" w:hAnsi="Verdana"/>
          <w:i/>
          <w:sz w:val="20"/>
          <w:szCs w:val="20"/>
        </w:rPr>
        <w:t>“</w:t>
      </w:r>
      <w:r w:rsidR="005167C5" w:rsidRPr="003B4767">
        <w:rPr>
          <w:rFonts w:ascii="Verdana" w:hAnsi="Verdana"/>
          <w:i/>
          <w:sz w:val="20"/>
          <w:szCs w:val="20"/>
        </w:rPr>
        <w:t xml:space="preserve">(…). </w:t>
      </w:r>
      <w:r w:rsidRPr="003B4767">
        <w:rPr>
          <w:rFonts w:ascii="Verdana" w:hAnsi="Verdana"/>
          <w:i/>
          <w:sz w:val="20"/>
          <w:szCs w:val="20"/>
        </w:rPr>
        <w:t xml:space="preserve">Lo scopo della suddetta disposizione è quello di lasciare inalterata la situazione dei posti dirigenziali vacanti alla data del 15 ottobre 2015 (data di approvazione del disegno di legge di stabilità 2016 da parte del CDM) per dare piena attuazione alla riforma prevista dalla legge 124/2015 senza che la riforma possa essere in qualche modo pregiudicata da assunzioni fatte per eludere lo scopo della stessa.  </w:t>
      </w:r>
    </w:p>
    <w:p w:rsidR="00FA440F" w:rsidRPr="003B4767" w:rsidRDefault="00FA440F" w:rsidP="005167C5">
      <w:pPr>
        <w:pStyle w:val="NormaleWeb"/>
        <w:spacing w:before="0" w:after="0" w:line="567" w:lineRule="exact"/>
        <w:jc w:val="both"/>
        <w:rPr>
          <w:rFonts w:ascii="Verdana" w:hAnsi="Verdana"/>
          <w:i/>
          <w:sz w:val="20"/>
          <w:szCs w:val="20"/>
        </w:rPr>
      </w:pPr>
      <w:r w:rsidRPr="003B4767">
        <w:rPr>
          <w:rFonts w:ascii="Verdana" w:hAnsi="Verdana"/>
          <w:i/>
          <w:sz w:val="20"/>
          <w:szCs w:val="20"/>
        </w:rPr>
        <w:t xml:space="preserve">Diversa la situazione dei posti che non erano vacanti alla data del 15 ottobre 2015. </w:t>
      </w:r>
    </w:p>
    <w:p w:rsidR="00FA440F" w:rsidRPr="003B4767" w:rsidRDefault="00FA440F" w:rsidP="003B4767">
      <w:pPr>
        <w:widowControl w:val="0"/>
        <w:spacing w:after="0" w:line="567" w:lineRule="exact"/>
        <w:jc w:val="both"/>
        <w:rPr>
          <w:rFonts w:ascii="Verdana" w:hAnsi="Verdana"/>
          <w:i/>
          <w:sz w:val="20"/>
          <w:szCs w:val="20"/>
        </w:rPr>
      </w:pPr>
      <w:r w:rsidRPr="003B4767">
        <w:rPr>
          <w:rFonts w:ascii="Verdana" w:hAnsi="Verdana"/>
          <w:i/>
          <w:sz w:val="20"/>
          <w:szCs w:val="20"/>
        </w:rPr>
        <w:t>I posti non vacanti al 15 ottobre 2015 e le altre di ipotesi di esclusione previste dalla norma rendono legittima la copertura dei suddetti nel rispetto, ovviamente, di tutte le altre norme che disciplinano l’assunzione del personale negli enti locali sia per quanto riguarda quelle a tempo indeterminato sia quelle a tempo determinato senza dimenticare inoltre le norme che disciplinano il collocamento del personale in mobilità (“esuberi”) in esito al processo di riforma delle province”</w:t>
      </w:r>
      <w:r w:rsidR="005167C5" w:rsidRPr="003B4767">
        <w:rPr>
          <w:rFonts w:ascii="Verdana" w:hAnsi="Verdana"/>
          <w:i/>
          <w:sz w:val="20"/>
          <w:szCs w:val="20"/>
        </w:rPr>
        <w:t>.</w:t>
      </w:r>
    </w:p>
    <w:p w:rsidR="00FA440F" w:rsidRPr="003B4767" w:rsidRDefault="00FA440F" w:rsidP="003E3625">
      <w:pPr>
        <w:spacing w:after="0" w:line="567" w:lineRule="exact"/>
        <w:ind w:firstLine="539"/>
        <w:jc w:val="both"/>
        <w:rPr>
          <w:rFonts w:ascii="Verdana" w:hAnsi="Verdana"/>
          <w:i/>
          <w:sz w:val="20"/>
          <w:szCs w:val="20"/>
        </w:rPr>
      </w:pPr>
      <w:r w:rsidRPr="00FA440F">
        <w:rPr>
          <w:rFonts w:ascii="Verdana" w:hAnsi="Verdana"/>
          <w:i/>
          <w:sz w:val="20"/>
          <w:szCs w:val="20"/>
        </w:rPr>
        <w:tab/>
      </w:r>
      <w:r w:rsidRPr="003B4767">
        <w:rPr>
          <w:rFonts w:ascii="Verdana" w:hAnsi="Verdana" w:cs="Tahoma"/>
          <w:sz w:val="20"/>
          <w:szCs w:val="20"/>
        </w:rPr>
        <w:t>In ordine a quest’ultimo profilo, la ricollocazione del personale delle Province,</w:t>
      </w:r>
      <w:r w:rsidR="005167C5" w:rsidRPr="003B4767">
        <w:rPr>
          <w:rFonts w:ascii="Verdana" w:hAnsi="Verdana" w:cs="Tahoma"/>
          <w:sz w:val="20"/>
          <w:szCs w:val="20"/>
        </w:rPr>
        <w:t xml:space="preserve"> con la circolare n. 1/2015, registrata dalla Corte dei Conti in data 20 febbraio 2015, </w:t>
      </w:r>
      <w:r w:rsidRPr="003B4767">
        <w:rPr>
          <w:rFonts w:ascii="Verdana" w:hAnsi="Verdana" w:cs="Tahoma"/>
          <w:sz w:val="20"/>
          <w:szCs w:val="20"/>
        </w:rPr>
        <w:t>si è</w:t>
      </w:r>
      <w:r w:rsidR="005167C5" w:rsidRPr="003B4767">
        <w:rPr>
          <w:rFonts w:ascii="Verdana" w:hAnsi="Verdana" w:cs="Tahoma"/>
          <w:sz w:val="20"/>
          <w:szCs w:val="20"/>
        </w:rPr>
        <w:t xml:space="preserve"> espresso </w:t>
      </w:r>
      <w:r w:rsidRPr="003B4767">
        <w:rPr>
          <w:rFonts w:ascii="Verdana" w:hAnsi="Verdana" w:cs="Tahoma"/>
          <w:sz w:val="20"/>
          <w:szCs w:val="20"/>
        </w:rPr>
        <w:t xml:space="preserve">anche </w:t>
      </w:r>
      <w:r w:rsidR="005167C5" w:rsidRPr="003B4767">
        <w:rPr>
          <w:rFonts w:ascii="Verdana" w:hAnsi="Verdana" w:cs="Tahoma"/>
          <w:sz w:val="20"/>
          <w:szCs w:val="20"/>
        </w:rPr>
        <w:t>il</w:t>
      </w:r>
      <w:r w:rsidRPr="003B4767">
        <w:rPr>
          <w:rFonts w:ascii="Verdana" w:hAnsi="Verdana" w:cs="Tahoma"/>
          <w:sz w:val="20"/>
          <w:szCs w:val="20"/>
        </w:rPr>
        <w:t xml:space="preserve"> Ministero per la semplificazione e la pubblica amministrazione</w:t>
      </w:r>
      <w:r w:rsidRPr="00FA440F">
        <w:rPr>
          <w:rFonts w:ascii="Verdana" w:eastAsia="Calibri" w:hAnsi="Verdana"/>
          <w:sz w:val="20"/>
          <w:szCs w:val="20"/>
          <w:lang w:eastAsia="en-US" w:bidi="it-IT"/>
        </w:rPr>
        <w:t xml:space="preserve">: </w:t>
      </w:r>
      <w:r w:rsidRPr="003B4767">
        <w:rPr>
          <w:rFonts w:ascii="Verdana" w:hAnsi="Verdana"/>
          <w:i/>
          <w:sz w:val="20"/>
          <w:szCs w:val="20"/>
        </w:rPr>
        <w:t>“</w:t>
      </w:r>
      <w:r w:rsidR="005167C5" w:rsidRPr="003B4767">
        <w:rPr>
          <w:rFonts w:ascii="Verdana" w:hAnsi="Verdana"/>
          <w:i/>
          <w:sz w:val="20"/>
          <w:szCs w:val="20"/>
        </w:rPr>
        <w:t xml:space="preserve">(…). </w:t>
      </w:r>
      <w:r w:rsidRPr="003B4767">
        <w:rPr>
          <w:rFonts w:ascii="Verdana" w:hAnsi="Verdana"/>
          <w:i/>
          <w:sz w:val="20"/>
          <w:szCs w:val="20"/>
        </w:rPr>
        <w:t>Nelle more del completamento del procedimento di cui ai commi 424 e 425 alle ammi</w:t>
      </w:r>
      <w:r w:rsidR="003B37C4" w:rsidRPr="003B4767">
        <w:rPr>
          <w:rFonts w:ascii="Verdana" w:hAnsi="Verdana"/>
          <w:i/>
          <w:sz w:val="20"/>
          <w:szCs w:val="20"/>
        </w:rPr>
        <w:t>nistrazioni sopra individuate”</w:t>
      </w:r>
      <w:r w:rsidR="003B37C4">
        <w:rPr>
          <w:rFonts w:ascii="Verdana" w:eastAsia="Calibri" w:hAnsi="Verdana"/>
          <w:sz w:val="20"/>
          <w:szCs w:val="20"/>
          <w:lang w:eastAsia="en-US" w:bidi="it-IT"/>
        </w:rPr>
        <w:t xml:space="preserve"> - </w:t>
      </w:r>
      <w:r w:rsidRPr="003B4767">
        <w:rPr>
          <w:rFonts w:ascii="Verdana" w:hAnsi="Verdana"/>
          <w:sz w:val="20"/>
          <w:szCs w:val="20"/>
        </w:rPr>
        <w:t>tra le</w:t>
      </w:r>
      <w:r w:rsidR="003B37C4" w:rsidRPr="003B4767">
        <w:rPr>
          <w:rFonts w:ascii="Verdana" w:hAnsi="Verdana"/>
          <w:sz w:val="20"/>
          <w:szCs w:val="20"/>
        </w:rPr>
        <w:t xml:space="preserve"> quali vi sono anche i Comuni</w:t>
      </w:r>
      <w:r w:rsidR="003B37C4">
        <w:rPr>
          <w:rFonts w:ascii="Verdana" w:eastAsia="Calibri" w:hAnsi="Verdana"/>
          <w:sz w:val="20"/>
          <w:szCs w:val="20"/>
          <w:lang w:eastAsia="en-US" w:bidi="it-IT"/>
        </w:rPr>
        <w:t xml:space="preserve"> - </w:t>
      </w:r>
      <w:r w:rsidR="003B37C4" w:rsidRPr="003B37C4">
        <w:rPr>
          <w:rFonts w:ascii="Verdana" w:eastAsia="Calibri" w:hAnsi="Verdana"/>
          <w:i/>
          <w:sz w:val="20"/>
          <w:szCs w:val="20"/>
          <w:lang w:eastAsia="en-US" w:bidi="it-IT"/>
        </w:rPr>
        <w:t>“</w:t>
      </w:r>
      <w:r w:rsidRPr="003B4767">
        <w:rPr>
          <w:rFonts w:ascii="Verdana" w:hAnsi="Verdana"/>
          <w:i/>
          <w:sz w:val="20"/>
          <w:szCs w:val="20"/>
        </w:rPr>
        <w:t xml:space="preserve">è fatto divieto di effettuare assunzioni a tempo indeterminato a valere sui budget 2015 e 2016. Le assunzioni effettuate in violazione dei commi 424 e 425 sono nulle. Rimangono consentite le assunzioni, a valere sui budget degli anni precedenti, nonché quelle previste da norme </w:t>
      </w:r>
      <w:r w:rsidRPr="003B4767">
        <w:rPr>
          <w:rFonts w:ascii="Verdana" w:hAnsi="Verdana"/>
          <w:i/>
          <w:sz w:val="20"/>
          <w:szCs w:val="20"/>
        </w:rPr>
        <w:lastRenderedPageBreak/>
        <w:t>speciali</w:t>
      </w:r>
      <w:r w:rsidR="003B37C4" w:rsidRPr="003B4767">
        <w:rPr>
          <w:rFonts w:ascii="Verdana" w:hAnsi="Verdana"/>
          <w:i/>
          <w:sz w:val="20"/>
          <w:szCs w:val="20"/>
        </w:rPr>
        <w:t>. (</w:t>
      </w:r>
      <w:r w:rsidRPr="003B4767">
        <w:rPr>
          <w:rFonts w:ascii="Verdana" w:hAnsi="Verdana"/>
          <w:i/>
          <w:sz w:val="20"/>
          <w:szCs w:val="20"/>
        </w:rPr>
        <w:t>...</w:t>
      </w:r>
      <w:r w:rsidR="003B37C4" w:rsidRPr="003B4767">
        <w:rPr>
          <w:rFonts w:ascii="Verdana" w:hAnsi="Verdana"/>
          <w:i/>
          <w:sz w:val="20"/>
          <w:szCs w:val="20"/>
        </w:rPr>
        <w:t xml:space="preserve">). </w:t>
      </w:r>
      <w:r w:rsidRPr="003B4767">
        <w:rPr>
          <w:rFonts w:ascii="Verdana" w:hAnsi="Verdana"/>
          <w:i/>
          <w:sz w:val="20"/>
          <w:szCs w:val="20"/>
        </w:rPr>
        <w:t>Non è consentito bandire nuovi concorsi a valere sui budget 2015 e 2016, né procedure di mobilità. Le procedure di mobilità volontaria avviate prima del 1° gennaio 2015 possono essere concluse”.</w:t>
      </w:r>
    </w:p>
    <w:p w:rsidR="003B37C4" w:rsidRDefault="00FA440F" w:rsidP="003B4767">
      <w:pPr>
        <w:widowControl w:val="0"/>
        <w:spacing w:after="0" w:line="567" w:lineRule="exact"/>
        <w:ind w:firstLine="540"/>
        <w:jc w:val="both"/>
        <w:rPr>
          <w:rFonts w:ascii="Verdana" w:hAnsi="Verdana"/>
          <w:spacing w:val="12"/>
          <w:sz w:val="20"/>
          <w:szCs w:val="20"/>
        </w:rPr>
      </w:pPr>
      <w:r w:rsidRPr="00FA440F">
        <w:rPr>
          <w:rFonts w:ascii="Verdana" w:hAnsi="Verdana"/>
          <w:sz w:val="20"/>
          <w:szCs w:val="20"/>
        </w:rPr>
        <w:tab/>
      </w:r>
      <w:r w:rsidRPr="003B37C4">
        <w:rPr>
          <w:rFonts w:ascii="Verdana" w:hAnsi="Verdana"/>
          <w:sz w:val="20"/>
          <w:szCs w:val="20"/>
        </w:rPr>
        <w:t>Come si evince dalla richiesta di parere del Sindaco di Lanciano</w:t>
      </w:r>
      <w:r w:rsidR="006A2D0A">
        <w:rPr>
          <w:rFonts w:ascii="Verdana" w:hAnsi="Verdana"/>
          <w:sz w:val="20"/>
          <w:szCs w:val="20"/>
        </w:rPr>
        <w:t>,</w:t>
      </w:r>
      <w:r w:rsidRPr="003B37C4">
        <w:rPr>
          <w:rFonts w:ascii="Verdana" w:hAnsi="Verdana"/>
          <w:sz w:val="20"/>
          <w:szCs w:val="20"/>
        </w:rPr>
        <w:t xml:space="preserve"> il posto per il quale si intende procedere</w:t>
      </w:r>
      <w:r w:rsidRPr="003B4767">
        <w:rPr>
          <w:rFonts w:ascii="Verdana" w:hAnsi="Verdana"/>
          <w:sz w:val="20"/>
          <w:szCs w:val="20"/>
        </w:rPr>
        <w:t xml:space="preserve"> ad un’assunzione risultava coperto alla data del 15 ottobre 2015 e per tale circostanza non ricadente nelle limitazioni di cui all’art. 1, comma 219, della legge 208/2015.</w:t>
      </w:r>
      <w:r w:rsidR="003B37C4" w:rsidRPr="003B4767">
        <w:rPr>
          <w:rFonts w:ascii="Verdana" w:hAnsi="Verdana"/>
          <w:sz w:val="20"/>
          <w:szCs w:val="20"/>
        </w:rPr>
        <w:t xml:space="preserve"> </w:t>
      </w:r>
      <w:r w:rsidRPr="003B4767">
        <w:rPr>
          <w:rFonts w:ascii="Verdana" w:hAnsi="Verdana"/>
          <w:sz w:val="20"/>
          <w:szCs w:val="20"/>
        </w:rPr>
        <w:t>Pertanto, allorquando verrà me</w:t>
      </w:r>
      <w:r w:rsidR="003B37C4" w:rsidRPr="003B4767">
        <w:rPr>
          <w:rFonts w:ascii="Verdana" w:hAnsi="Verdana"/>
          <w:sz w:val="20"/>
          <w:szCs w:val="20"/>
        </w:rPr>
        <w:t xml:space="preserve">no il vincolo imposto dall’art. </w:t>
      </w:r>
      <w:r w:rsidRPr="003B4767">
        <w:rPr>
          <w:rFonts w:ascii="Verdana" w:hAnsi="Verdana"/>
          <w:sz w:val="20"/>
          <w:szCs w:val="20"/>
        </w:rPr>
        <w:t>1</w:t>
      </w:r>
      <w:r w:rsidR="003B37C4" w:rsidRPr="003B4767">
        <w:rPr>
          <w:rFonts w:ascii="Verdana" w:hAnsi="Verdana"/>
          <w:sz w:val="20"/>
          <w:szCs w:val="20"/>
        </w:rPr>
        <w:t>,</w:t>
      </w:r>
      <w:r w:rsidRPr="003B4767">
        <w:rPr>
          <w:rFonts w:ascii="Verdana" w:hAnsi="Verdana"/>
          <w:sz w:val="20"/>
          <w:szCs w:val="20"/>
        </w:rPr>
        <w:t xml:space="preserve"> comma 424</w:t>
      </w:r>
      <w:r w:rsidR="003B37C4" w:rsidRPr="003B4767">
        <w:rPr>
          <w:rFonts w:ascii="Verdana" w:hAnsi="Verdana"/>
          <w:sz w:val="20"/>
          <w:szCs w:val="20"/>
        </w:rPr>
        <w:t>, della legge n.190/2014, l’E</w:t>
      </w:r>
      <w:r w:rsidRPr="003B4767">
        <w:rPr>
          <w:rFonts w:ascii="Verdana" w:hAnsi="Verdana"/>
          <w:sz w:val="20"/>
          <w:szCs w:val="20"/>
        </w:rPr>
        <w:t xml:space="preserve">nte potrà procedere alla copertura del posto nel rispetto di tutte le norme che disciplinano l’assunzione del personale a tempo indeterminato sia quelle a tempo </w:t>
      </w:r>
      <w:r w:rsidR="0042313C" w:rsidRPr="003B4767">
        <w:rPr>
          <w:rFonts w:ascii="Verdana" w:hAnsi="Verdana"/>
          <w:sz w:val="20"/>
          <w:szCs w:val="20"/>
        </w:rPr>
        <w:t>d</w:t>
      </w:r>
      <w:r w:rsidRPr="003B4767">
        <w:rPr>
          <w:rFonts w:ascii="Verdana" w:hAnsi="Verdana"/>
          <w:sz w:val="20"/>
          <w:szCs w:val="20"/>
        </w:rPr>
        <w:t>eterminato.</w:t>
      </w:r>
      <w:r w:rsidRPr="00FA440F">
        <w:rPr>
          <w:rFonts w:ascii="Verdana" w:hAnsi="Verdana"/>
          <w:spacing w:val="12"/>
          <w:sz w:val="20"/>
          <w:szCs w:val="20"/>
        </w:rPr>
        <w:t xml:space="preserve"> </w:t>
      </w:r>
    </w:p>
    <w:p w:rsidR="00FA440F" w:rsidRPr="003F2B45" w:rsidRDefault="00FA440F" w:rsidP="009E6EF7">
      <w:pPr>
        <w:widowControl w:val="0"/>
        <w:spacing w:after="0" w:line="567" w:lineRule="exact"/>
        <w:ind w:firstLine="540"/>
        <w:jc w:val="both"/>
        <w:rPr>
          <w:rFonts w:ascii="Verdana" w:hAnsi="Verdana"/>
          <w:spacing w:val="12"/>
          <w:sz w:val="20"/>
          <w:szCs w:val="20"/>
        </w:rPr>
      </w:pPr>
      <w:r w:rsidRPr="00FA440F">
        <w:rPr>
          <w:rFonts w:ascii="Verdana" w:hAnsi="Verdana"/>
          <w:spacing w:val="12"/>
          <w:sz w:val="20"/>
          <w:szCs w:val="20"/>
        </w:rPr>
        <w:tab/>
      </w:r>
      <w:r w:rsidRPr="003B4767">
        <w:rPr>
          <w:rFonts w:ascii="Verdana" w:hAnsi="Verdana"/>
          <w:sz w:val="20"/>
          <w:szCs w:val="20"/>
        </w:rPr>
        <w:t xml:space="preserve">In ordine alle capacità assunzionali che residuano a seguito delle cessazioni verificatesi negli anni 2013, 2014 e 2015 la Sezione delle Autonomie si è pronunciata </w:t>
      </w:r>
      <w:r w:rsidR="003F2B45" w:rsidRPr="003B4767">
        <w:rPr>
          <w:rFonts w:ascii="Verdana" w:hAnsi="Verdana"/>
          <w:sz w:val="20"/>
          <w:szCs w:val="20"/>
        </w:rPr>
        <w:t xml:space="preserve">con due deliberazioni. Con la deliberazione n. </w:t>
      </w:r>
      <w:r w:rsidRPr="003B4767">
        <w:rPr>
          <w:rFonts w:ascii="Verdana" w:hAnsi="Verdana"/>
          <w:sz w:val="20"/>
          <w:szCs w:val="20"/>
        </w:rPr>
        <w:t xml:space="preserve">26 del 20 luglio </w:t>
      </w:r>
      <w:r w:rsidR="004A25A7">
        <w:rPr>
          <w:rFonts w:ascii="Verdana" w:hAnsi="Verdana"/>
          <w:sz w:val="20"/>
          <w:szCs w:val="20"/>
        </w:rPr>
        <w:t>2015, ha rilevato</w:t>
      </w:r>
      <w:r w:rsidR="003F2B45" w:rsidRPr="003B4767">
        <w:rPr>
          <w:rFonts w:ascii="Verdana" w:hAnsi="Verdana"/>
          <w:sz w:val="20"/>
          <w:szCs w:val="20"/>
        </w:rPr>
        <w:t>,</w:t>
      </w:r>
      <w:r w:rsidRPr="003B4767">
        <w:rPr>
          <w:rFonts w:ascii="Verdana" w:hAnsi="Verdana"/>
          <w:sz w:val="20"/>
          <w:szCs w:val="20"/>
        </w:rPr>
        <w:t xml:space="preserve"> ai fini dell’inquadramento della questione</w:t>
      </w:r>
      <w:r w:rsidR="003F2B45" w:rsidRPr="003B4767">
        <w:rPr>
          <w:rFonts w:ascii="Verdana" w:hAnsi="Verdana"/>
          <w:sz w:val="20"/>
          <w:szCs w:val="20"/>
        </w:rPr>
        <w:t>,</w:t>
      </w:r>
      <w:r w:rsidRPr="003B4767">
        <w:rPr>
          <w:rFonts w:ascii="Verdana" w:hAnsi="Verdana"/>
          <w:sz w:val="20"/>
          <w:szCs w:val="20"/>
        </w:rPr>
        <w:t xml:space="preserve"> l’intervento legislativo di cui all’art.</w:t>
      </w:r>
      <w:r w:rsidR="003F2B45" w:rsidRPr="003B4767">
        <w:rPr>
          <w:rFonts w:ascii="Verdana" w:hAnsi="Verdana"/>
          <w:sz w:val="20"/>
          <w:szCs w:val="20"/>
        </w:rPr>
        <w:t xml:space="preserve"> </w:t>
      </w:r>
      <w:r w:rsidRPr="003B4767">
        <w:rPr>
          <w:rFonts w:ascii="Verdana" w:hAnsi="Verdana"/>
          <w:sz w:val="20"/>
          <w:szCs w:val="20"/>
        </w:rPr>
        <w:t>4, com</w:t>
      </w:r>
      <w:r w:rsidR="003F2B45" w:rsidRPr="003B4767">
        <w:rPr>
          <w:rFonts w:ascii="Verdana" w:hAnsi="Verdana"/>
          <w:sz w:val="20"/>
          <w:szCs w:val="20"/>
        </w:rPr>
        <w:t>m</w:t>
      </w:r>
      <w:r w:rsidRPr="003B4767">
        <w:rPr>
          <w:rFonts w:ascii="Verdana" w:hAnsi="Verdana"/>
          <w:sz w:val="20"/>
          <w:szCs w:val="20"/>
        </w:rPr>
        <w:t>a 3, del decreto legge n.</w:t>
      </w:r>
      <w:r w:rsidR="003F2B45" w:rsidRPr="003B4767">
        <w:rPr>
          <w:rFonts w:ascii="Verdana" w:hAnsi="Verdana"/>
          <w:sz w:val="20"/>
          <w:szCs w:val="20"/>
        </w:rPr>
        <w:t xml:space="preserve"> 78 del 24 </w:t>
      </w:r>
      <w:r w:rsidR="009B0DE8">
        <w:rPr>
          <w:rFonts w:ascii="Verdana" w:hAnsi="Verdana"/>
          <w:sz w:val="20"/>
          <w:szCs w:val="20"/>
        </w:rPr>
        <w:t>giugno 2015 che ha integrato</w:t>
      </w:r>
      <w:r w:rsidRPr="003B4767">
        <w:rPr>
          <w:rFonts w:ascii="Verdana" w:hAnsi="Verdana"/>
          <w:sz w:val="20"/>
          <w:szCs w:val="20"/>
        </w:rPr>
        <w:t xml:space="preserve"> l’art.</w:t>
      </w:r>
      <w:r w:rsidR="003F2B45" w:rsidRPr="003B4767">
        <w:rPr>
          <w:rFonts w:ascii="Verdana" w:hAnsi="Verdana"/>
          <w:sz w:val="20"/>
          <w:szCs w:val="20"/>
        </w:rPr>
        <w:t xml:space="preserve"> </w:t>
      </w:r>
      <w:r w:rsidRPr="003B4767">
        <w:rPr>
          <w:rFonts w:ascii="Verdana" w:hAnsi="Verdana"/>
          <w:sz w:val="20"/>
          <w:szCs w:val="20"/>
        </w:rPr>
        <w:t>3, comma 5, del decr</w:t>
      </w:r>
      <w:r w:rsidR="003B37C4" w:rsidRPr="003B4767">
        <w:rPr>
          <w:rFonts w:ascii="Verdana" w:hAnsi="Verdana"/>
          <w:sz w:val="20"/>
          <w:szCs w:val="20"/>
        </w:rPr>
        <w:t>eto legge 24 giugno 2014</w:t>
      </w:r>
      <w:r w:rsidR="003F2B45" w:rsidRPr="003B4767">
        <w:rPr>
          <w:rFonts w:ascii="Verdana" w:hAnsi="Verdana"/>
          <w:sz w:val="20"/>
          <w:szCs w:val="20"/>
        </w:rPr>
        <w:t>,</w:t>
      </w:r>
      <w:r w:rsidR="003B37C4" w:rsidRPr="003B4767">
        <w:rPr>
          <w:rFonts w:ascii="Verdana" w:hAnsi="Verdana"/>
          <w:sz w:val="20"/>
          <w:szCs w:val="20"/>
        </w:rPr>
        <w:t xml:space="preserve"> n.</w:t>
      </w:r>
      <w:r w:rsidR="003F2B45" w:rsidRPr="003B4767">
        <w:rPr>
          <w:rFonts w:ascii="Verdana" w:hAnsi="Verdana"/>
          <w:sz w:val="20"/>
          <w:szCs w:val="20"/>
        </w:rPr>
        <w:t xml:space="preserve"> </w:t>
      </w:r>
      <w:r w:rsidR="009B0DE8">
        <w:rPr>
          <w:rFonts w:ascii="Verdana" w:hAnsi="Verdana"/>
          <w:sz w:val="20"/>
          <w:szCs w:val="20"/>
        </w:rPr>
        <w:t xml:space="preserve">90, </w:t>
      </w:r>
      <w:r w:rsidRPr="003B4767">
        <w:rPr>
          <w:rFonts w:ascii="Verdana" w:hAnsi="Verdana"/>
          <w:sz w:val="20"/>
          <w:szCs w:val="20"/>
        </w:rPr>
        <w:t>convertito con modifica</w:t>
      </w:r>
      <w:r w:rsidR="0073286F">
        <w:rPr>
          <w:rFonts w:ascii="Verdana" w:hAnsi="Verdana"/>
          <w:sz w:val="20"/>
          <w:szCs w:val="20"/>
        </w:rPr>
        <w:t>zioni dalla legge 11 agosto 2014</w:t>
      </w:r>
      <w:r w:rsidR="003F2B45" w:rsidRPr="003B4767">
        <w:rPr>
          <w:rFonts w:ascii="Verdana" w:hAnsi="Verdana"/>
          <w:sz w:val="20"/>
          <w:szCs w:val="20"/>
        </w:rPr>
        <w:t>,</w:t>
      </w:r>
      <w:r w:rsidR="009B0DE8">
        <w:rPr>
          <w:rFonts w:ascii="Verdana" w:hAnsi="Verdana"/>
          <w:sz w:val="20"/>
          <w:szCs w:val="20"/>
        </w:rPr>
        <w:t xml:space="preserve"> </w:t>
      </w:r>
      <w:r w:rsidR="0073286F">
        <w:rPr>
          <w:rFonts w:ascii="Verdana" w:hAnsi="Verdana"/>
          <w:sz w:val="20"/>
          <w:szCs w:val="20"/>
        </w:rPr>
        <w:t xml:space="preserve">      </w:t>
      </w:r>
      <w:r w:rsidR="009B0DE8">
        <w:rPr>
          <w:rFonts w:ascii="Verdana" w:hAnsi="Verdana"/>
          <w:sz w:val="20"/>
          <w:szCs w:val="20"/>
        </w:rPr>
        <w:t>n.</w:t>
      </w:r>
      <w:r w:rsidR="0073286F">
        <w:rPr>
          <w:rFonts w:ascii="Verdana" w:hAnsi="Verdana"/>
          <w:sz w:val="20"/>
          <w:szCs w:val="20"/>
        </w:rPr>
        <w:t xml:space="preserve"> </w:t>
      </w:r>
      <w:r w:rsidR="009B0DE8">
        <w:rPr>
          <w:rFonts w:ascii="Verdana" w:hAnsi="Verdana"/>
          <w:sz w:val="20"/>
          <w:szCs w:val="20"/>
        </w:rPr>
        <w:t>114, disponendo</w:t>
      </w:r>
      <w:r w:rsidRPr="009E6EF7">
        <w:rPr>
          <w:rFonts w:ascii="Verdana" w:hAnsi="Verdana"/>
          <w:sz w:val="20"/>
          <w:szCs w:val="20"/>
        </w:rPr>
        <w:t>:</w:t>
      </w:r>
      <w:r w:rsidR="003F2B45" w:rsidRPr="009E6EF7">
        <w:rPr>
          <w:rFonts w:ascii="Verdana" w:hAnsi="Verdana"/>
          <w:sz w:val="20"/>
          <w:szCs w:val="20"/>
        </w:rPr>
        <w:t xml:space="preserve"> </w:t>
      </w:r>
      <w:r w:rsidR="009B0DE8">
        <w:rPr>
          <w:rFonts w:ascii="Verdana" w:hAnsi="Verdana"/>
          <w:i/>
          <w:sz w:val="20"/>
          <w:szCs w:val="20"/>
        </w:rPr>
        <w:t>“dopo le parole “nel rispetto della programmazione del fabbisogno e di quella finanziaria e contabile” sono aggiunte le seguenti “; è altresì consentito l’utilizzo dei residui ancora disponibili delle quote percentuali delle facoltà assunzionali riferite al triennio precedente””</w:t>
      </w:r>
      <w:r w:rsidR="009B0DE8">
        <w:rPr>
          <w:rFonts w:ascii="Verdana" w:hAnsi="Verdana"/>
          <w:sz w:val="20"/>
          <w:szCs w:val="20"/>
        </w:rPr>
        <w:t xml:space="preserve">. La Sezione delle Autonomie ha pertanto pronunciato il seguente principio: </w:t>
      </w:r>
      <w:r w:rsidRPr="009E6EF7">
        <w:rPr>
          <w:rFonts w:ascii="Verdana" w:hAnsi="Verdana"/>
          <w:sz w:val="20"/>
          <w:szCs w:val="20"/>
        </w:rPr>
        <w:t>”</w:t>
      </w:r>
      <w:r w:rsidRPr="009E6EF7">
        <w:rPr>
          <w:rFonts w:ascii="Verdana" w:hAnsi="Verdana"/>
          <w:i/>
          <w:sz w:val="20"/>
          <w:szCs w:val="20"/>
        </w:rPr>
        <w:t>gli enti locali possono effettuare assunzioni di personale a tempo indeterminato utilizzando la capacità assunzionale del 2014 derivante dalle cessazioni di personale nel</w:t>
      </w:r>
      <w:r w:rsidR="0073286F">
        <w:rPr>
          <w:rFonts w:ascii="Verdana" w:hAnsi="Verdana"/>
          <w:i/>
          <w:sz w:val="20"/>
          <w:szCs w:val="20"/>
        </w:rPr>
        <w:t xml:space="preserve"> triennio </w:t>
      </w:r>
      <w:r w:rsidRPr="009E6EF7">
        <w:rPr>
          <w:rFonts w:ascii="Verdana" w:hAnsi="Verdana"/>
          <w:i/>
          <w:sz w:val="20"/>
          <w:szCs w:val="20"/>
        </w:rPr>
        <w:t xml:space="preserve">2011-2013, sempre nel rispetto dei vincoli di finanza pubblica; mentre, con riguardo al budget di spesa del biennio 2015-2016 (riferito alle cessazioni di personale </w:t>
      </w:r>
      <w:r w:rsidRPr="009E6EF7">
        <w:rPr>
          <w:rFonts w:ascii="Verdana" w:hAnsi="Verdana"/>
          <w:i/>
          <w:sz w:val="20"/>
          <w:szCs w:val="20"/>
        </w:rPr>
        <w:lastRenderedPageBreak/>
        <w:t>intervenute nel 2014 e nel 2015), la capacità assunzionale è soggetta ai vincoli posti dall’articolo 1, comma 424 della legge 190/2014 finalizzati a garantire il riassorbimento del personale provinciale”</w:t>
      </w:r>
      <w:r w:rsidRPr="009E6EF7">
        <w:rPr>
          <w:rFonts w:ascii="Verdana" w:hAnsi="Verdana"/>
          <w:sz w:val="20"/>
          <w:szCs w:val="20"/>
        </w:rPr>
        <w:t>.</w:t>
      </w:r>
    </w:p>
    <w:p w:rsidR="00BE2025" w:rsidRDefault="00FA440F" w:rsidP="003E3625">
      <w:pPr>
        <w:spacing w:after="0" w:line="567" w:lineRule="exact"/>
        <w:ind w:firstLine="539"/>
        <w:jc w:val="both"/>
        <w:rPr>
          <w:rFonts w:ascii="Verdana" w:eastAsia="Calibri" w:hAnsi="Verdana"/>
          <w:sz w:val="20"/>
          <w:szCs w:val="20"/>
          <w:lang w:eastAsia="en-US" w:bidi="it-IT"/>
        </w:rPr>
      </w:pPr>
      <w:r w:rsidRPr="003B4767">
        <w:rPr>
          <w:rFonts w:ascii="Verdana" w:hAnsi="Verdana"/>
          <w:sz w:val="20"/>
          <w:szCs w:val="20"/>
        </w:rPr>
        <w:t>Successivamente, con delibera n.</w:t>
      </w:r>
      <w:r w:rsidR="00E6762B" w:rsidRPr="003B4767">
        <w:rPr>
          <w:rFonts w:ascii="Verdana" w:hAnsi="Verdana"/>
          <w:sz w:val="20"/>
          <w:szCs w:val="20"/>
        </w:rPr>
        <w:t xml:space="preserve"> </w:t>
      </w:r>
      <w:r w:rsidRPr="003B4767">
        <w:rPr>
          <w:rFonts w:ascii="Verdana" w:hAnsi="Verdana"/>
          <w:sz w:val="20"/>
          <w:szCs w:val="20"/>
        </w:rPr>
        <w:t>28 del 14 settembre 2015, la Sezione delle Autonomie ha precisato che:</w:t>
      </w:r>
      <w:r w:rsidR="00BE2025">
        <w:rPr>
          <w:rFonts w:ascii="Verdana" w:hAnsi="Verdana"/>
          <w:spacing w:val="12"/>
          <w:sz w:val="20"/>
          <w:szCs w:val="20"/>
        </w:rPr>
        <w:t xml:space="preserve"> </w:t>
      </w:r>
      <w:r w:rsidRPr="009E6EF7">
        <w:rPr>
          <w:rFonts w:ascii="Verdana" w:hAnsi="Verdana"/>
          <w:i/>
          <w:sz w:val="20"/>
          <w:szCs w:val="20"/>
        </w:rPr>
        <w:t>”</w:t>
      </w:r>
      <w:r w:rsidR="003F2B45" w:rsidRPr="009E6EF7">
        <w:rPr>
          <w:rFonts w:ascii="Verdana" w:hAnsi="Verdana"/>
          <w:i/>
          <w:sz w:val="20"/>
          <w:szCs w:val="20"/>
        </w:rPr>
        <w:t>(…)</w:t>
      </w:r>
      <w:r w:rsidR="00BE2025" w:rsidRPr="009E6EF7">
        <w:rPr>
          <w:rFonts w:ascii="Verdana" w:hAnsi="Verdana"/>
          <w:i/>
          <w:sz w:val="20"/>
          <w:szCs w:val="20"/>
        </w:rPr>
        <w:t xml:space="preserve"> </w:t>
      </w:r>
      <w:r w:rsidRPr="009E6EF7">
        <w:rPr>
          <w:rFonts w:ascii="Verdana" w:hAnsi="Verdana"/>
          <w:i/>
          <w:sz w:val="20"/>
          <w:szCs w:val="20"/>
        </w:rPr>
        <w:t>gli enti locali possono effettuare assunzioni di personale a tempo indeterminato utilizzando la capacità</w:t>
      </w:r>
      <w:r w:rsidRPr="00BE2025">
        <w:rPr>
          <w:rFonts w:ascii="Verdana" w:eastAsia="Calibri" w:hAnsi="Verdana"/>
          <w:i/>
          <w:sz w:val="20"/>
          <w:szCs w:val="20"/>
          <w:lang w:eastAsia="en-US" w:bidi="it-IT"/>
        </w:rPr>
        <w:t xml:space="preserve"> assunzionale del 2014 derivante dai “resti” relativi al triennio 2011-2013, sempre nel rispetto dei vincoli di finanza pubblica e purché siano stati osservati anche gli obblighi previsti dall’art. 3, comma 3 del</w:t>
      </w:r>
      <w:r w:rsidR="003B4767">
        <w:rPr>
          <w:rFonts w:ascii="Verdana" w:eastAsia="Calibri" w:hAnsi="Verdana"/>
          <w:i/>
          <w:sz w:val="20"/>
          <w:szCs w:val="20"/>
          <w:lang w:eastAsia="en-US" w:bidi="it-IT"/>
        </w:rPr>
        <w:t xml:space="preserve"> </w:t>
      </w:r>
      <w:r w:rsidRPr="00BE2025">
        <w:rPr>
          <w:rFonts w:ascii="Verdana" w:eastAsia="Calibri" w:hAnsi="Verdana"/>
          <w:i/>
          <w:sz w:val="20"/>
          <w:szCs w:val="20"/>
          <w:lang w:eastAsia="en-US" w:bidi="it-IT"/>
        </w:rPr>
        <w:t>d.l. n. 90/2014 (programmazione finanziaria, contabile e del fabbisogno di personale)”</w:t>
      </w:r>
      <w:r w:rsidRPr="00FA440F">
        <w:rPr>
          <w:rFonts w:ascii="Verdana" w:eastAsia="Calibri" w:hAnsi="Verdana"/>
          <w:sz w:val="20"/>
          <w:szCs w:val="20"/>
          <w:lang w:eastAsia="en-US" w:bidi="it-IT"/>
        </w:rPr>
        <w:t xml:space="preserve">. </w:t>
      </w:r>
    </w:p>
    <w:p w:rsidR="00FA440F" w:rsidRPr="00FA440F" w:rsidRDefault="00FA440F" w:rsidP="00BE2025">
      <w:pPr>
        <w:spacing w:after="0" w:line="567" w:lineRule="exact"/>
        <w:ind w:firstLine="539"/>
        <w:jc w:val="both"/>
        <w:rPr>
          <w:rFonts w:ascii="Verdana" w:hAnsi="Verdana"/>
          <w:sz w:val="20"/>
          <w:szCs w:val="20"/>
        </w:rPr>
      </w:pPr>
      <w:r w:rsidRPr="00FA440F">
        <w:rPr>
          <w:rFonts w:ascii="Verdana" w:eastAsia="Calibri" w:hAnsi="Verdana"/>
          <w:sz w:val="20"/>
          <w:szCs w:val="20"/>
          <w:lang w:eastAsia="en-US" w:bidi="it-IT"/>
        </w:rPr>
        <w:t xml:space="preserve"> </w:t>
      </w:r>
      <w:r w:rsidRPr="003B4767">
        <w:rPr>
          <w:rFonts w:ascii="Verdana" w:hAnsi="Verdana"/>
          <w:sz w:val="20"/>
          <w:szCs w:val="20"/>
        </w:rPr>
        <w:t>Inoltre</w:t>
      </w:r>
      <w:r w:rsidR="00BE2025" w:rsidRPr="003B4767">
        <w:rPr>
          <w:rFonts w:ascii="Verdana" w:hAnsi="Verdana"/>
          <w:sz w:val="20"/>
          <w:szCs w:val="20"/>
        </w:rPr>
        <w:t xml:space="preserve">, </w:t>
      </w:r>
      <w:r w:rsidRPr="003B4767">
        <w:rPr>
          <w:rFonts w:ascii="Verdana" w:hAnsi="Verdana"/>
          <w:sz w:val="20"/>
          <w:szCs w:val="20"/>
        </w:rPr>
        <w:t>con il medesimo atto</w:t>
      </w:r>
      <w:r w:rsidR="00BE2025" w:rsidRPr="003B4767">
        <w:rPr>
          <w:rFonts w:ascii="Verdana" w:hAnsi="Verdana"/>
          <w:sz w:val="20"/>
          <w:szCs w:val="20"/>
        </w:rPr>
        <w:t>,</w:t>
      </w:r>
      <w:r w:rsidRPr="003B4767">
        <w:rPr>
          <w:rFonts w:ascii="Verdana" w:hAnsi="Verdana"/>
          <w:sz w:val="20"/>
          <w:szCs w:val="20"/>
        </w:rPr>
        <w:t xml:space="preserve"> la Sezione delle Autonomie ha </w:t>
      </w:r>
      <w:r w:rsidRPr="00235757">
        <w:rPr>
          <w:rFonts w:ascii="Verdana" w:hAnsi="Verdana"/>
          <w:sz w:val="20"/>
          <w:szCs w:val="20"/>
        </w:rPr>
        <w:t>pronunciato</w:t>
      </w:r>
      <w:r w:rsidRPr="003B4767">
        <w:rPr>
          <w:rFonts w:ascii="Verdana" w:hAnsi="Verdana"/>
          <w:sz w:val="20"/>
          <w:szCs w:val="20"/>
        </w:rPr>
        <w:t xml:space="preserve"> il seguente principio</w:t>
      </w:r>
      <w:r w:rsidRPr="00FA440F">
        <w:rPr>
          <w:rFonts w:ascii="Verdana" w:eastAsia="Calibri" w:hAnsi="Verdana"/>
          <w:sz w:val="20"/>
          <w:szCs w:val="20"/>
          <w:lang w:eastAsia="en-US" w:bidi="it-IT"/>
        </w:rPr>
        <w:t>:</w:t>
      </w:r>
      <w:r w:rsidR="00BE2025">
        <w:rPr>
          <w:rFonts w:ascii="Verdana" w:eastAsia="Calibri" w:hAnsi="Verdana"/>
          <w:sz w:val="20"/>
          <w:szCs w:val="20"/>
          <w:lang w:eastAsia="en-US" w:bidi="it-IT"/>
        </w:rPr>
        <w:t xml:space="preserve"> </w:t>
      </w:r>
      <w:r w:rsidRPr="00BE2025">
        <w:rPr>
          <w:rFonts w:ascii="Verdana" w:eastAsia="Calibri" w:hAnsi="Verdana"/>
          <w:i/>
          <w:sz w:val="20"/>
          <w:szCs w:val="20"/>
          <w:lang w:eastAsia="en-US" w:bidi="it-IT"/>
        </w:rPr>
        <w:t>“</w:t>
      </w:r>
      <w:r w:rsidRPr="00BE2025">
        <w:rPr>
          <w:rFonts w:ascii="Verdana" w:hAnsi="Verdana"/>
          <w:i/>
          <w:sz w:val="20"/>
          <w:szCs w:val="20"/>
        </w:rPr>
        <w:t>1) Il riferimento “al triennio precedente” inserito nell’art. 4, comma 3, del</w:t>
      </w:r>
      <w:r w:rsidR="006B35CA">
        <w:rPr>
          <w:rFonts w:ascii="Verdana" w:hAnsi="Verdana"/>
          <w:i/>
          <w:sz w:val="20"/>
          <w:szCs w:val="20"/>
        </w:rPr>
        <w:t xml:space="preserve">        </w:t>
      </w:r>
      <w:r w:rsidRPr="00BE2025">
        <w:rPr>
          <w:rFonts w:ascii="Verdana" w:hAnsi="Verdana"/>
          <w:i/>
          <w:sz w:val="20"/>
          <w:szCs w:val="20"/>
        </w:rPr>
        <w:t xml:space="preserve"> d.l. n. 78/2015, che ha integrato l’art. 3, comma 5, del d.l. n. 90/2014, è da intendersi in senso dinamico, con scorrimento e calcolo dei resti, a ritroso, rispetto all’anno in cui si i</w:t>
      </w:r>
      <w:r w:rsidR="00BE2025" w:rsidRPr="00BE2025">
        <w:rPr>
          <w:rFonts w:ascii="Verdana" w:hAnsi="Verdana"/>
          <w:i/>
          <w:sz w:val="20"/>
          <w:szCs w:val="20"/>
        </w:rPr>
        <w:t>ntende effettuare le assunzioni</w:t>
      </w:r>
      <w:r w:rsidRPr="00BE2025">
        <w:rPr>
          <w:rFonts w:ascii="Verdana" w:hAnsi="Verdana"/>
          <w:i/>
          <w:sz w:val="20"/>
          <w:szCs w:val="20"/>
        </w:rPr>
        <w:t>”</w:t>
      </w:r>
      <w:r w:rsidR="00BE2025">
        <w:rPr>
          <w:rFonts w:ascii="Verdana" w:hAnsi="Verdana"/>
          <w:i/>
          <w:sz w:val="20"/>
          <w:szCs w:val="20"/>
        </w:rPr>
        <w:t>.</w:t>
      </w:r>
    </w:p>
    <w:p w:rsidR="00FA440F" w:rsidRPr="00FA440F" w:rsidRDefault="00BE2025" w:rsidP="003B4767">
      <w:pPr>
        <w:widowControl w:val="0"/>
        <w:spacing w:after="0" w:line="567" w:lineRule="exact"/>
        <w:ind w:firstLine="540"/>
        <w:jc w:val="both"/>
        <w:rPr>
          <w:rFonts w:ascii="Verdana" w:hAnsi="Verdana"/>
          <w:sz w:val="20"/>
          <w:szCs w:val="20"/>
        </w:rPr>
      </w:pPr>
      <w:r>
        <w:rPr>
          <w:rFonts w:ascii="Verdana" w:hAnsi="Verdana"/>
          <w:sz w:val="20"/>
          <w:szCs w:val="20"/>
        </w:rPr>
        <w:t xml:space="preserve">In conclusione, </w:t>
      </w:r>
      <w:r w:rsidR="00FA440F" w:rsidRPr="00FA440F">
        <w:rPr>
          <w:rFonts w:ascii="Verdana" w:hAnsi="Verdana"/>
          <w:sz w:val="20"/>
          <w:szCs w:val="20"/>
        </w:rPr>
        <w:t>il Collegio</w:t>
      </w:r>
      <w:r>
        <w:rPr>
          <w:rFonts w:ascii="Verdana" w:hAnsi="Verdana"/>
          <w:sz w:val="20"/>
          <w:szCs w:val="20"/>
        </w:rPr>
        <w:t xml:space="preserve"> ritiene</w:t>
      </w:r>
      <w:r w:rsidR="00FA440F" w:rsidRPr="00FA440F">
        <w:rPr>
          <w:rFonts w:ascii="Verdana" w:hAnsi="Verdana"/>
          <w:sz w:val="20"/>
          <w:szCs w:val="20"/>
        </w:rPr>
        <w:t xml:space="preserve"> che il Comune di Lanciano, con il ripristino delle ordinarie facoltà di assunzion</w:t>
      </w:r>
      <w:r>
        <w:rPr>
          <w:rFonts w:ascii="Verdana" w:hAnsi="Verdana"/>
          <w:sz w:val="20"/>
          <w:szCs w:val="20"/>
        </w:rPr>
        <w:t>e, possa utilizzare a tale fine</w:t>
      </w:r>
      <w:r w:rsidR="00FA440F" w:rsidRPr="00FA440F">
        <w:rPr>
          <w:rFonts w:ascii="Verdana" w:hAnsi="Verdana"/>
          <w:sz w:val="20"/>
          <w:szCs w:val="20"/>
        </w:rPr>
        <w:t xml:space="preserve">, nell’anno 2016, i “resti” dell’anno 2013 essendo detta annualità ricompresa nel precedente triennio, secondo l’accezione dinamica adottata dalla Sezione delle Autonomie nella citata pronuncia </w:t>
      </w:r>
      <w:r w:rsidR="00E43A2F">
        <w:rPr>
          <w:rFonts w:ascii="Verdana" w:hAnsi="Verdana"/>
          <w:sz w:val="20"/>
          <w:szCs w:val="20"/>
        </w:rPr>
        <w:t xml:space="preserve">              </w:t>
      </w:r>
      <w:r w:rsidR="00FA440F" w:rsidRPr="00FA440F">
        <w:rPr>
          <w:rFonts w:ascii="Verdana" w:hAnsi="Verdana"/>
          <w:sz w:val="20"/>
          <w:szCs w:val="20"/>
        </w:rPr>
        <w:t>n.</w:t>
      </w:r>
      <w:r>
        <w:rPr>
          <w:rFonts w:ascii="Verdana" w:hAnsi="Verdana"/>
          <w:sz w:val="20"/>
          <w:szCs w:val="20"/>
        </w:rPr>
        <w:t xml:space="preserve"> </w:t>
      </w:r>
      <w:r w:rsidR="00FA440F" w:rsidRPr="00FA440F">
        <w:rPr>
          <w:rFonts w:ascii="Verdana" w:hAnsi="Verdana"/>
          <w:sz w:val="20"/>
          <w:szCs w:val="20"/>
        </w:rPr>
        <w:t>28/2015</w:t>
      </w:r>
      <w:r>
        <w:rPr>
          <w:rFonts w:ascii="Verdana" w:hAnsi="Verdana"/>
          <w:sz w:val="20"/>
          <w:szCs w:val="20"/>
        </w:rPr>
        <w:t>,</w:t>
      </w:r>
      <w:r w:rsidR="00FA440F" w:rsidRPr="00FA440F">
        <w:rPr>
          <w:rFonts w:ascii="Verdana" w:hAnsi="Verdana"/>
          <w:sz w:val="20"/>
          <w:szCs w:val="20"/>
        </w:rPr>
        <w:t xml:space="preserve"> nonch</w:t>
      </w:r>
      <w:r>
        <w:rPr>
          <w:rFonts w:ascii="Verdana" w:hAnsi="Verdana"/>
          <w:sz w:val="20"/>
          <w:szCs w:val="20"/>
        </w:rPr>
        <w:t>é</w:t>
      </w:r>
      <w:r w:rsidR="00FA440F" w:rsidRPr="00FA440F">
        <w:rPr>
          <w:rFonts w:ascii="Verdana" w:hAnsi="Verdana"/>
          <w:sz w:val="20"/>
          <w:szCs w:val="20"/>
        </w:rPr>
        <w:t xml:space="preserve"> nel  </w:t>
      </w:r>
      <w:r w:rsidR="00FA440F" w:rsidRPr="003B4767">
        <w:rPr>
          <w:rFonts w:ascii="Verdana" w:hAnsi="Verdana"/>
          <w:sz w:val="20"/>
          <w:szCs w:val="20"/>
        </w:rPr>
        <w:t>rispetto dei vincoli di finanza pubblica e purché siano stati osservati anche gli obblighi previsti dall’art. 3, comma 3</w:t>
      </w:r>
      <w:r w:rsidRPr="003B4767">
        <w:rPr>
          <w:rFonts w:ascii="Verdana" w:hAnsi="Verdana"/>
          <w:sz w:val="20"/>
          <w:szCs w:val="20"/>
        </w:rPr>
        <w:t>,</w:t>
      </w:r>
      <w:r w:rsidR="00FA440F" w:rsidRPr="003B4767">
        <w:rPr>
          <w:rFonts w:ascii="Verdana" w:hAnsi="Verdana"/>
          <w:sz w:val="20"/>
          <w:szCs w:val="20"/>
        </w:rPr>
        <w:t xml:space="preserve"> del d.l. n. 90/2014.</w:t>
      </w:r>
    </w:p>
    <w:p w:rsidR="00FA440F" w:rsidRPr="003B4767" w:rsidRDefault="00FA440F" w:rsidP="003B4767">
      <w:pPr>
        <w:widowControl w:val="0"/>
        <w:spacing w:after="0" w:line="567" w:lineRule="exact"/>
        <w:ind w:firstLine="540"/>
        <w:jc w:val="both"/>
        <w:rPr>
          <w:rFonts w:ascii="Verdana" w:hAnsi="Verdana"/>
          <w:sz w:val="20"/>
          <w:szCs w:val="20"/>
        </w:rPr>
      </w:pPr>
      <w:r w:rsidRPr="003B4767">
        <w:rPr>
          <w:rFonts w:ascii="Verdana" w:hAnsi="Verdana"/>
          <w:sz w:val="20"/>
          <w:szCs w:val="20"/>
        </w:rPr>
        <w:t>L’ulteriore quesito attiene alla possibilità di procedere, per la copertura di altro p</w:t>
      </w:r>
      <w:r w:rsidR="00E43A2F" w:rsidRPr="003B4767">
        <w:rPr>
          <w:rFonts w:ascii="Verdana" w:hAnsi="Verdana"/>
          <w:sz w:val="20"/>
          <w:szCs w:val="20"/>
        </w:rPr>
        <w:t>osto di D</w:t>
      </w:r>
      <w:r w:rsidRPr="003B4767">
        <w:rPr>
          <w:rFonts w:ascii="Verdana" w:hAnsi="Verdana"/>
          <w:sz w:val="20"/>
          <w:szCs w:val="20"/>
        </w:rPr>
        <w:t>irigente tecnico, allo scorrimento della graduatoria ancora valida il cui vin</w:t>
      </w:r>
      <w:r w:rsidR="00E43A2F" w:rsidRPr="003B4767">
        <w:rPr>
          <w:rFonts w:ascii="Verdana" w:hAnsi="Verdana"/>
          <w:sz w:val="20"/>
          <w:szCs w:val="20"/>
        </w:rPr>
        <w:t xml:space="preserve">citore è stato assunto il 31 dicembre </w:t>
      </w:r>
      <w:r w:rsidRPr="003B4767">
        <w:rPr>
          <w:rFonts w:ascii="Verdana" w:hAnsi="Verdana"/>
          <w:sz w:val="20"/>
          <w:szCs w:val="20"/>
        </w:rPr>
        <w:t>2015.</w:t>
      </w:r>
    </w:p>
    <w:p w:rsidR="00FA440F" w:rsidRPr="00E43A2F" w:rsidRDefault="00FA440F" w:rsidP="003E3625">
      <w:pPr>
        <w:shd w:val="clear" w:color="auto" w:fill="FFFFFF"/>
        <w:spacing w:after="0" w:line="567" w:lineRule="exact"/>
        <w:ind w:firstLine="539"/>
        <w:jc w:val="both"/>
        <w:rPr>
          <w:rFonts w:ascii="Verdana" w:hAnsi="Verdana"/>
          <w:i/>
          <w:sz w:val="20"/>
          <w:szCs w:val="20"/>
        </w:rPr>
      </w:pPr>
      <w:r w:rsidRPr="00FA440F">
        <w:rPr>
          <w:rFonts w:ascii="Verdana" w:eastAsia="Calibri" w:hAnsi="Verdana"/>
          <w:sz w:val="20"/>
          <w:szCs w:val="20"/>
          <w:lang w:eastAsia="en-US" w:bidi="it-IT"/>
        </w:rPr>
        <w:lastRenderedPageBreak/>
        <w:t xml:space="preserve">Il Consiglio di Stato ha affermato che lo scorrimento delle graduatorie di concorso è oggetto di un potere discrezionale </w:t>
      </w:r>
      <w:r w:rsidRPr="0042313C">
        <w:rPr>
          <w:rFonts w:ascii="Verdana" w:eastAsia="Calibri" w:hAnsi="Verdana"/>
          <w:sz w:val="20"/>
          <w:szCs w:val="20"/>
          <w:lang w:eastAsia="en-US" w:bidi="it-IT"/>
        </w:rPr>
        <w:t>nell’an.</w:t>
      </w:r>
      <w:r w:rsidRPr="00FA440F">
        <w:rPr>
          <w:rFonts w:ascii="Verdana" w:eastAsia="Calibri" w:hAnsi="Verdana"/>
          <w:sz w:val="20"/>
          <w:szCs w:val="20"/>
          <w:lang w:eastAsia="en-US" w:bidi="it-IT"/>
        </w:rPr>
        <w:t xml:space="preserve"> Infatti la sentenza della Sezione V</w:t>
      </w:r>
      <w:r w:rsidR="00E43A2F">
        <w:rPr>
          <w:rFonts w:ascii="Verdana" w:eastAsia="Calibri" w:hAnsi="Verdana"/>
          <w:sz w:val="20"/>
          <w:szCs w:val="20"/>
          <w:lang w:eastAsia="en-US" w:bidi="it-IT"/>
        </w:rPr>
        <w:t>,</w:t>
      </w:r>
      <w:r w:rsidRPr="00FA440F">
        <w:rPr>
          <w:rFonts w:ascii="Verdana" w:eastAsia="Calibri" w:hAnsi="Verdana"/>
          <w:sz w:val="20"/>
          <w:szCs w:val="20"/>
          <w:lang w:eastAsia="en-US" w:bidi="it-IT"/>
        </w:rPr>
        <w:t xml:space="preserve"> n. 4329 del</w:t>
      </w:r>
      <w:r w:rsidR="00E43A2F">
        <w:rPr>
          <w:rFonts w:ascii="Verdana" w:eastAsia="Calibri" w:hAnsi="Verdana"/>
          <w:sz w:val="20"/>
          <w:szCs w:val="20"/>
          <w:lang w:eastAsia="en-US" w:bidi="it-IT"/>
        </w:rPr>
        <w:t xml:space="preserve"> </w:t>
      </w:r>
      <w:r w:rsidRPr="00FA440F">
        <w:rPr>
          <w:rFonts w:ascii="Verdana" w:eastAsia="Calibri" w:hAnsi="Verdana"/>
          <w:sz w:val="20"/>
          <w:szCs w:val="20"/>
          <w:lang w:eastAsia="en-US" w:bidi="it-IT"/>
        </w:rPr>
        <w:t>31 luglio 2012</w:t>
      </w:r>
      <w:r w:rsidR="00E43A2F">
        <w:rPr>
          <w:rFonts w:ascii="Verdana" w:eastAsia="Calibri" w:hAnsi="Verdana"/>
          <w:sz w:val="20"/>
          <w:szCs w:val="20"/>
          <w:lang w:eastAsia="en-US" w:bidi="it-IT"/>
        </w:rPr>
        <w:t>,</w:t>
      </w:r>
      <w:r w:rsidRPr="00FA440F">
        <w:rPr>
          <w:rFonts w:ascii="Verdana" w:eastAsia="Calibri" w:hAnsi="Verdana"/>
          <w:sz w:val="20"/>
          <w:szCs w:val="20"/>
          <w:lang w:eastAsia="en-US" w:bidi="it-IT"/>
        </w:rPr>
        <w:t xml:space="preserve"> recita: </w:t>
      </w:r>
      <w:r w:rsidRPr="00E43A2F">
        <w:rPr>
          <w:rFonts w:ascii="Verdana" w:hAnsi="Verdana"/>
          <w:i/>
          <w:sz w:val="20"/>
          <w:szCs w:val="20"/>
        </w:rPr>
        <w:t xml:space="preserve">“Per gli enti locali, di analogo contenuto, è la disposizione </w:t>
      </w:r>
      <w:r w:rsidR="006B35CA">
        <w:rPr>
          <w:rFonts w:ascii="Verdana" w:hAnsi="Verdana"/>
          <w:i/>
          <w:sz w:val="20"/>
          <w:szCs w:val="20"/>
        </w:rPr>
        <w:t xml:space="preserve">         </w:t>
      </w:r>
      <w:r w:rsidRPr="00E43A2F">
        <w:rPr>
          <w:rFonts w:ascii="Verdana" w:hAnsi="Verdana"/>
          <w:i/>
          <w:sz w:val="20"/>
          <w:szCs w:val="20"/>
        </w:rPr>
        <w:t>dell'art. 91, comma 4, del d. lgv. n. 267 del 2000 ("Le graduatorie concorsuali rimangono efficaci per un termine di tre anni dalla data di pubblicazione per l'eventuale copertura dei posti che si venissero a rendere successivamente vacanti e disponibili, fatta eccezione per i posti istituiti o trasformati successivamente all'indizione del concorso medesimo").</w:t>
      </w:r>
    </w:p>
    <w:p w:rsidR="00FA440F" w:rsidRPr="00FA440F" w:rsidRDefault="00FA440F" w:rsidP="00E43A2F">
      <w:pPr>
        <w:shd w:val="clear" w:color="auto" w:fill="FFFFFF"/>
        <w:spacing w:after="0" w:line="567" w:lineRule="exact"/>
        <w:jc w:val="both"/>
        <w:rPr>
          <w:rFonts w:ascii="Verdana" w:hAnsi="Verdana"/>
          <w:sz w:val="20"/>
          <w:szCs w:val="20"/>
        </w:rPr>
      </w:pPr>
      <w:r w:rsidRPr="00E43A2F">
        <w:rPr>
          <w:rFonts w:ascii="Verdana" w:hAnsi="Verdana"/>
          <w:i/>
          <w:sz w:val="20"/>
          <w:szCs w:val="20"/>
        </w:rPr>
        <w:t>Ne consegue che, fermo il potere dell'amministrazione di procedere o non procedere alla copertura dei posti, implicito nella locuzione "per l'eventuale copertura", l'unico limite allo scorrimento della graduatoria è che non si tratti di posti di nuova istituzione o trasformazione”</w:t>
      </w:r>
      <w:r w:rsidRPr="00FA440F">
        <w:rPr>
          <w:rFonts w:ascii="Verdana" w:hAnsi="Verdana"/>
          <w:sz w:val="20"/>
          <w:szCs w:val="20"/>
        </w:rPr>
        <w:t>.</w:t>
      </w:r>
    </w:p>
    <w:p w:rsidR="00FA440F" w:rsidRPr="00FA440F" w:rsidRDefault="00FF27B9" w:rsidP="003E3625">
      <w:pPr>
        <w:shd w:val="clear" w:color="auto" w:fill="FFFFFF"/>
        <w:spacing w:after="0" w:line="567" w:lineRule="exact"/>
        <w:ind w:firstLine="539"/>
        <w:jc w:val="both"/>
        <w:rPr>
          <w:rFonts w:ascii="Verdana" w:hAnsi="Verdana"/>
          <w:sz w:val="20"/>
          <w:szCs w:val="20"/>
        </w:rPr>
      </w:pPr>
      <w:r>
        <w:rPr>
          <w:rFonts w:ascii="Verdana" w:hAnsi="Verdana"/>
          <w:sz w:val="20"/>
          <w:szCs w:val="20"/>
        </w:rPr>
        <w:t>Sempre la S</w:t>
      </w:r>
      <w:r w:rsidR="00FA440F" w:rsidRPr="00FA440F">
        <w:rPr>
          <w:rFonts w:ascii="Verdana" w:hAnsi="Verdana"/>
          <w:sz w:val="20"/>
          <w:szCs w:val="20"/>
        </w:rPr>
        <w:t>ezione V del Consiglio di Stato, con sentenza n. 4361 del 15 luglio 2014, ha osservato che:</w:t>
      </w:r>
      <w:r w:rsidR="00E43A2F">
        <w:rPr>
          <w:rFonts w:ascii="Verdana" w:hAnsi="Verdana"/>
          <w:sz w:val="20"/>
          <w:szCs w:val="20"/>
        </w:rPr>
        <w:t xml:space="preserve"> </w:t>
      </w:r>
      <w:r w:rsidR="00FA440F" w:rsidRPr="00E43A2F">
        <w:rPr>
          <w:rFonts w:ascii="Verdana" w:hAnsi="Verdana"/>
          <w:i/>
          <w:sz w:val="20"/>
          <w:szCs w:val="20"/>
        </w:rPr>
        <w:t xml:space="preserve">“Nell'attuale congiuntura economica e di finanza pubblica l'ordinamento esprime un deciso favore per lo scorrimento della graduatoria concorsuale, quale modalità di reclutamento rispetto al quale la mobilità è recessiva, atteso che la finalità della complessiva disciplina in esame è quella di contenere la spesa per strutture amministrative e di razionalizzare l'uso delle risorse umane ed economiche, ed è per questo che il legislatore richiede che i posti resisi fisiologicamente vacanti in seguito all'espletamento di un concorso siano prioritariamente coperti attingendo dalla graduatoria e l'unico </w:t>
      </w:r>
      <w:r w:rsidR="00FA440F" w:rsidRPr="0042313C">
        <w:rPr>
          <w:rFonts w:ascii="Verdana" w:hAnsi="Verdana"/>
          <w:i/>
          <w:sz w:val="20"/>
          <w:szCs w:val="20"/>
        </w:rPr>
        <w:t>limite</w:t>
      </w:r>
      <w:r w:rsidR="0042313C" w:rsidRPr="0042313C">
        <w:rPr>
          <w:rFonts w:ascii="Verdana" w:hAnsi="Verdana"/>
          <w:i/>
          <w:sz w:val="20"/>
          <w:szCs w:val="20"/>
        </w:rPr>
        <w:t xml:space="preserve"> al</w:t>
      </w:r>
      <w:r w:rsidR="00FA440F" w:rsidRPr="0042313C">
        <w:rPr>
          <w:rFonts w:ascii="Verdana" w:hAnsi="Verdana"/>
          <w:i/>
          <w:sz w:val="20"/>
          <w:szCs w:val="20"/>
        </w:rPr>
        <w:t xml:space="preserve"> suo</w:t>
      </w:r>
      <w:r w:rsidR="00FA440F" w:rsidRPr="00E43A2F">
        <w:rPr>
          <w:rFonts w:ascii="Verdana" w:hAnsi="Verdana"/>
          <w:i/>
          <w:sz w:val="20"/>
          <w:szCs w:val="20"/>
        </w:rPr>
        <w:t xml:space="preserve"> scorrimento è che non si tratti di posti di nuova istituzione o trasformazione”</w:t>
      </w:r>
      <w:r w:rsidR="00FA440F" w:rsidRPr="00FA440F">
        <w:rPr>
          <w:rFonts w:ascii="Verdana" w:hAnsi="Verdana"/>
          <w:sz w:val="20"/>
          <w:szCs w:val="20"/>
        </w:rPr>
        <w:t xml:space="preserve">. </w:t>
      </w:r>
    </w:p>
    <w:p w:rsidR="00FA440F" w:rsidRPr="00FA440F" w:rsidRDefault="00FA440F" w:rsidP="003E3625">
      <w:pPr>
        <w:shd w:val="clear" w:color="auto" w:fill="FFFFFF"/>
        <w:spacing w:after="0" w:line="567" w:lineRule="exact"/>
        <w:ind w:firstLine="539"/>
        <w:jc w:val="both"/>
        <w:rPr>
          <w:rFonts w:ascii="Verdana" w:hAnsi="Verdana"/>
          <w:sz w:val="20"/>
          <w:szCs w:val="20"/>
        </w:rPr>
      </w:pPr>
      <w:r w:rsidRPr="00FA440F">
        <w:rPr>
          <w:rFonts w:ascii="Verdana" w:hAnsi="Verdana"/>
          <w:sz w:val="20"/>
          <w:szCs w:val="20"/>
        </w:rPr>
        <w:t xml:space="preserve">Peraltro in ordine al profilo dell’esclusione dei posti di nuova istituzione o trasformazione per i quali è fatto divieto di procedere alla copertura tramite scorrimento delle graduatorie di concorso ancora valide, va citata la stessa sentenza </w:t>
      </w:r>
      <w:r w:rsidR="006B35CA">
        <w:rPr>
          <w:rFonts w:ascii="Verdana" w:hAnsi="Verdana"/>
          <w:sz w:val="20"/>
          <w:szCs w:val="20"/>
        </w:rPr>
        <w:t xml:space="preserve">n. </w:t>
      </w:r>
      <w:r w:rsidRPr="00FA440F">
        <w:rPr>
          <w:rFonts w:ascii="Verdana" w:hAnsi="Verdana"/>
          <w:sz w:val="20"/>
          <w:szCs w:val="20"/>
        </w:rPr>
        <w:t>4361/2014:</w:t>
      </w:r>
      <w:r w:rsidR="00E43A2F">
        <w:rPr>
          <w:rFonts w:ascii="Verdana" w:hAnsi="Verdana"/>
          <w:sz w:val="20"/>
          <w:szCs w:val="20"/>
        </w:rPr>
        <w:t xml:space="preserve"> </w:t>
      </w:r>
      <w:r w:rsidRPr="00E43A2F">
        <w:rPr>
          <w:rFonts w:ascii="Verdana" w:hAnsi="Verdana"/>
          <w:i/>
          <w:sz w:val="20"/>
          <w:szCs w:val="20"/>
        </w:rPr>
        <w:t>“</w:t>
      </w:r>
      <w:r w:rsidR="00DF0EDA">
        <w:rPr>
          <w:rFonts w:ascii="Verdana" w:hAnsi="Verdana"/>
          <w:i/>
          <w:sz w:val="20"/>
          <w:szCs w:val="20"/>
        </w:rPr>
        <w:t xml:space="preserve">(…). </w:t>
      </w:r>
      <w:r w:rsidRPr="00E43A2F">
        <w:rPr>
          <w:rFonts w:ascii="Verdana" w:hAnsi="Verdana"/>
          <w:i/>
          <w:sz w:val="20"/>
          <w:szCs w:val="20"/>
        </w:rPr>
        <w:t xml:space="preserve">Con essa il legislatore ha infatti inteso impedire che successivamente </w:t>
      </w:r>
      <w:r w:rsidRPr="00E43A2F">
        <w:rPr>
          <w:rFonts w:ascii="Verdana" w:hAnsi="Verdana"/>
          <w:i/>
          <w:sz w:val="20"/>
          <w:szCs w:val="20"/>
        </w:rPr>
        <w:lastRenderedPageBreak/>
        <w:t>all'espletamento di concorsi pubblici gli enti locali diano vita a posizioni funzionali ad hoc, da ricoprire attingendo alla graduatoria finale. Il divieto colpisce le modifiche alle dotazioni organiche o altre di carattere organizzativo in aumento, le quali, proprio perché effettuate a fronte di una graduatoria concorsuale "aperta", nell'ambito della quale sono noti i nominativi degli idonei all'assunzione, possono prestarsi a deprecabili favoritismi anziché essere ispirate da effettive esigenze funzionali. Non sono per contro vietate le riduzioni alle dotazioni organiche, anzi le stesse - come visto sopra - sono incoraggiate dal legislatore”</w:t>
      </w:r>
      <w:r w:rsidRPr="00FA440F">
        <w:rPr>
          <w:rFonts w:ascii="Verdana" w:hAnsi="Verdana"/>
          <w:sz w:val="20"/>
          <w:szCs w:val="20"/>
        </w:rPr>
        <w:t>.</w:t>
      </w:r>
    </w:p>
    <w:p w:rsidR="00FA440F" w:rsidRPr="00FA440F" w:rsidRDefault="00FA440F" w:rsidP="003E3625">
      <w:pPr>
        <w:widowControl w:val="0"/>
        <w:spacing w:after="0" w:line="567" w:lineRule="exact"/>
        <w:ind w:firstLine="539"/>
        <w:jc w:val="both"/>
        <w:rPr>
          <w:rFonts w:ascii="Verdana" w:hAnsi="Verdana"/>
          <w:sz w:val="20"/>
          <w:szCs w:val="20"/>
        </w:rPr>
      </w:pPr>
      <w:r w:rsidRPr="00FA440F">
        <w:rPr>
          <w:rFonts w:ascii="Verdana" w:hAnsi="Verdana"/>
          <w:sz w:val="20"/>
          <w:szCs w:val="20"/>
        </w:rPr>
        <w:t>Il Collegio pertanto ritiene che, ripristinate le facoltà assunzion</w:t>
      </w:r>
      <w:r w:rsidR="0073286F">
        <w:rPr>
          <w:rFonts w:ascii="Verdana" w:hAnsi="Verdana"/>
          <w:sz w:val="20"/>
          <w:szCs w:val="20"/>
        </w:rPr>
        <w:t>ali, il Comune di Lanciano potrà</w:t>
      </w:r>
      <w:r w:rsidRPr="00FA440F">
        <w:rPr>
          <w:rFonts w:ascii="Verdana" w:hAnsi="Verdana"/>
          <w:sz w:val="20"/>
          <w:szCs w:val="20"/>
        </w:rPr>
        <w:t xml:space="preserve"> procedere alla copertura del posto vacante di </w:t>
      </w:r>
      <w:r w:rsidR="00E43A2F">
        <w:rPr>
          <w:rFonts w:ascii="Verdana" w:hAnsi="Verdana"/>
          <w:sz w:val="20"/>
          <w:szCs w:val="20"/>
        </w:rPr>
        <w:t>D</w:t>
      </w:r>
      <w:r w:rsidRPr="00FA440F">
        <w:rPr>
          <w:rFonts w:ascii="Verdana" w:hAnsi="Verdana"/>
          <w:sz w:val="20"/>
          <w:szCs w:val="20"/>
        </w:rPr>
        <w:t xml:space="preserve">irigente tecnico tramite scorrimento della graduatoria di concorso tuttora valida ai sensi </w:t>
      </w:r>
      <w:r w:rsidR="00E43A2F">
        <w:rPr>
          <w:rFonts w:ascii="Verdana" w:hAnsi="Verdana"/>
          <w:sz w:val="20"/>
          <w:szCs w:val="20"/>
        </w:rPr>
        <w:t>dell’art. 91, comma 4, del T.U.E.L. e dell’art</w:t>
      </w:r>
      <w:r w:rsidRPr="00FA440F">
        <w:rPr>
          <w:rFonts w:ascii="Verdana" w:hAnsi="Verdana"/>
          <w:sz w:val="20"/>
          <w:szCs w:val="20"/>
        </w:rPr>
        <w:t>.</w:t>
      </w:r>
      <w:r w:rsidR="00E43A2F">
        <w:rPr>
          <w:rFonts w:ascii="Verdana" w:hAnsi="Verdana"/>
          <w:sz w:val="20"/>
          <w:szCs w:val="20"/>
        </w:rPr>
        <w:t xml:space="preserve"> 4, c</w:t>
      </w:r>
      <w:r w:rsidR="0042313C">
        <w:rPr>
          <w:rFonts w:ascii="Verdana" w:hAnsi="Verdana"/>
          <w:sz w:val="20"/>
          <w:szCs w:val="20"/>
        </w:rPr>
        <w:t>omma 3, del d.l. n. 101/2013.</w:t>
      </w:r>
    </w:p>
    <w:p w:rsidR="003B2366" w:rsidRPr="00350DFF" w:rsidRDefault="003B2366" w:rsidP="00C54196">
      <w:pPr>
        <w:autoSpaceDE w:val="0"/>
        <w:autoSpaceDN w:val="0"/>
        <w:adjustRightInd w:val="0"/>
        <w:spacing w:after="0" w:line="567" w:lineRule="exact"/>
        <w:jc w:val="center"/>
        <w:rPr>
          <w:rFonts w:ascii="Verdana" w:hAnsi="Verdana"/>
          <w:sz w:val="20"/>
          <w:szCs w:val="20"/>
        </w:rPr>
      </w:pPr>
      <w:r w:rsidRPr="00350DFF">
        <w:rPr>
          <w:rFonts w:ascii="Verdana" w:hAnsi="Verdana"/>
          <w:b/>
          <w:sz w:val="20"/>
          <w:szCs w:val="20"/>
        </w:rPr>
        <w:t>P.Q.M.</w:t>
      </w:r>
    </w:p>
    <w:p w:rsidR="003B2366" w:rsidRPr="00350DFF" w:rsidRDefault="00711BA6" w:rsidP="00C54196">
      <w:pPr>
        <w:widowControl w:val="0"/>
        <w:spacing w:after="0" w:line="567" w:lineRule="exact"/>
        <w:ind w:firstLine="540"/>
        <w:jc w:val="both"/>
        <w:rPr>
          <w:rFonts w:ascii="Verdana" w:hAnsi="Verdana"/>
          <w:sz w:val="20"/>
          <w:szCs w:val="20"/>
        </w:rPr>
      </w:pPr>
      <w:r w:rsidRPr="00694102">
        <w:rPr>
          <w:rFonts w:ascii="Verdana" w:hAnsi="Verdana"/>
          <w:sz w:val="20"/>
          <w:szCs w:val="20"/>
        </w:rPr>
        <w:t xml:space="preserve">Nelle considerazioni su esposte è il parere della Sezione regionale di controllo della Corte dei conti per l’Abruzzo sulla richiesta di parere del Comune </w:t>
      </w:r>
      <w:r w:rsidR="00E43A2F">
        <w:rPr>
          <w:rFonts w:ascii="Verdana" w:hAnsi="Verdana"/>
          <w:sz w:val="20"/>
          <w:szCs w:val="20"/>
        </w:rPr>
        <w:t>di Lanciano (CH</w:t>
      </w:r>
      <w:r w:rsidRPr="00694102">
        <w:rPr>
          <w:rFonts w:ascii="Verdana" w:hAnsi="Verdana"/>
          <w:sz w:val="20"/>
          <w:szCs w:val="20"/>
        </w:rPr>
        <w:t>).</w:t>
      </w:r>
    </w:p>
    <w:p w:rsidR="003B2366" w:rsidRPr="00350DFF" w:rsidRDefault="003B2366" w:rsidP="00C54196">
      <w:pPr>
        <w:widowControl w:val="0"/>
        <w:spacing w:after="0" w:line="567" w:lineRule="exact"/>
        <w:jc w:val="center"/>
        <w:rPr>
          <w:rFonts w:ascii="Verdana" w:hAnsi="Verdana"/>
          <w:b/>
          <w:sz w:val="20"/>
          <w:szCs w:val="20"/>
        </w:rPr>
      </w:pPr>
      <w:r w:rsidRPr="00350DFF">
        <w:rPr>
          <w:rFonts w:ascii="Verdana" w:hAnsi="Verdana"/>
          <w:b/>
          <w:sz w:val="20"/>
          <w:szCs w:val="20"/>
        </w:rPr>
        <w:t>DISPONE</w:t>
      </w:r>
    </w:p>
    <w:p w:rsidR="003B2366" w:rsidRDefault="003B2366" w:rsidP="00711BA6">
      <w:pPr>
        <w:autoSpaceDE w:val="0"/>
        <w:autoSpaceDN w:val="0"/>
        <w:adjustRightInd w:val="0"/>
        <w:spacing w:after="0" w:line="567" w:lineRule="exact"/>
        <w:ind w:firstLine="708"/>
        <w:jc w:val="both"/>
        <w:rPr>
          <w:rFonts w:ascii="Verdana" w:hAnsi="Verdana"/>
          <w:sz w:val="20"/>
          <w:szCs w:val="20"/>
        </w:rPr>
      </w:pPr>
      <w:r w:rsidRPr="00350DFF">
        <w:rPr>
          <w:rFonts w:ascii="Verdana" w:hAnsi="Verdana"/>
          <w:sz w:val="20"/>
          <w:szCs w:val="20"/>
        </w:rPr>
        <w:t>che copia della presente deliberazione, a cura della Segreteria, sia trasmessa al Presidente del Consiglio comunale e al Sindac</w:t>
      </w:r>
      <w:r w:rsidR="00E43A2F">
        <w:rPr>
          <w:rFonts w:ascii="Verdana" w:hAnsi="Verdana"/>
          <w:sz w:val="20"/>
          <w:szCs w:val="20"/>
        </w:rPr>
        <w:t>o del Comune di Lanciano (CH</w:t>
      </w:r>
      <w:r w:rsidRPr="00350DFF">
        <w:rPr>
          <w:rFonts w:ascii="Verdana" w:hAnsi="Verdana"/>
          <w:sz w:val="20"/>
          <w:szCs w:val="20"/>
        </w:rPr>
        <w:t xml:space="preserve">), nonché al </w:t>
      </w:r>
      <w:r w:rsidR="00F028EC">
        <w:rPr>
          <w:rFonts w:ascii="Verdana" w:hAnsi="Verdana"/>
          <w:sz w:val="20"/>
          <w:szCs w:val="20"/>
        </w:rPr>
        <w:t>Presidente del Consiglio delle Autonomie L</w:t>
      </w:r>
      <w:r w:rsidRPr="00350DFF">
        <w:rPr>
          <w:rFonts w:ascii="Verdana" w:hAnsi="Verdana"/>
          <w:sz w:val="20"/>
          <w:szCs w:val="20"/>
        </w:rPr>
        <w:t>ocali.</w:t>
      </w:r>
    </w:p>
    <w:p w:rsidR="003B2366" w:rsidRDefault="003B2366" w:rsidP="00C54196">
      <w:pPr>
        <w:widowControl w:val="0"/>
        <w:spacing w:after="0" w:line="567" w:lineRule="exact"/>
        <w:ind w:firstLine="540"/>
        <w:jc w:val="both"/>
        <w:rPr>
          <w:rFonts w:ascii="Verdana" w:hAnsi="Verdana"/>
          <w:sz w:val="20"/>
          <w:szCs w:val="20"/>
        </w:rPr>
      </w:pPr>
      <w:r w:rsidRPr="00350DFF">
        <w:rPr>
          <w:rFonts w:ascii="Verdana" w:hAnsi="Verdana"/>
          <w:sz w:val="20"/>
          <w:szCs w:val="20"/>
        </w:rPr>
        <w:t xml:space="preserve">Così deliberato a L’Aquila, nella Camera di consiglio </w:t>
      </w:r>
      <w:r w:rsidR="00CB65EE">
        <w:rPr>
          <w:rFonts w:ascii="Verdana" w:hAnsi="Verdana"/>
          <w:sz w:val="20"/>
          <w:szCs w:val="20"/>
        </w:rPr>
        <w:t>dell’1 dicembre 2016</w:t>
      </w:r>
      <w:r w:rsidR="00711BA6">
        <w:rPr>
          <w:rFonts w:ascii="Verdana" w:hAnsi="Verdana"/>
          <w:sz w:val="20"/>
          <w:szCs w:val="20"/>
        </w:rPr>
        <w:t>.</w:t>
      </w:r>
      <w:r w:rsidRPr="00350DFF">
        <w:rPr>
          <w:rFonts w:ascii="Verdana" w:hAnsi="Verdana"/>
          <w:sz w:val="20"/>
          <w:szCs w:val="20"/>
        </w:rPr>
        <w:t xml:space="preserve"> </w:t>
      </w:r>
    </w:p>
    <w:tbl>
      <w:tblPr>
        <w:tblW w:w="5109" w:type="pct"/>
        <w:tblCellMar>
          <w:left w:w="70" w:type="dxa"/>
          <w:right w:w="70" w:type="dxa"/>
        </w:tblCellMar>
        <w:tblLook w:val="0000" w:firstRow="0" w:lastRow="0" w:firstColumn="0" w:lastColumn="0" w:noHBand="0" w:noVBand="0"/>
      </w:tblPr>
      <w:tblGrid>
        <w:gridCol w:w="99"/>
        <w:gridCol w:w="4123"/>
        <w:gridCol w:w="834"/>
        <w:gridCol w:w="1237"/>
        <w:gridCol w:w="2855"/>
        <w:gridCol w:w="122"/>
      </w:tblGrid>
      <w:tr w:rsidR="00544914" w:rsidRPr="001046A3" w:rsidTr="009E3365">
        <w:trPr>
          <w:gridAfter w:val="1"/>
          <w:wAfter w:w="66" w:type="pct"/>
          <w:trHeight w:val="687"/>
        </w:trPr>
        <w:tc>
          <w:tcPr>
            <w:tcW w:w="2277" w:type="pct"/>
            <w:gridSpan w:val="2"/>
          </w:tcPr>
          <w:p w:rsidR="00544914" w:rsidRDefault="00544914" w:rsidP="009E3365">
            <w:pPr>
              <w:spacing w:after="0" w:line="360" w:lineRule="auto"/>
              <w:rPr>
                <w:rFonts w:ascii="Verdana" w:hAnsi="Verdana"/>
                <w:sz w:val="20"/>
                <w:szCs w:val="20"/>
              </w:rPr>
            </w:pPr>
            <w:r>
              <w:rPr>
                <w:rFonts w:ascii="Verdana" w:hAnsi="Verdana"/>
                <w:sz w:val="20"/>
                <w:szCs w:val="20"/>
              </w:rPr>
              <w:t xml:space="preserve"> </w:t>
            </w:r>
            <w:r w:rsidRPr="001046A3">
              <w:rPr>
                <w:rFonts w:ascii="Verdana" w:hAnsi="Verdana"/>
                <w:sz w:val="20"/>
                <w:szCs w:val="20"/>
              </w:rPr>
              <w:t xml:space="preserve">     </w:t>
            </w:r>
          </w:p>
          <w:p w:rsidR="00544914" w:rsidRPr="001046A3" w:rsidRDefault="00544914" w:rsidP="009E3365">
            <w:pPr>
              <w:spacing w:after="0" w:line="360" w:lineRule="auto"/>
              <w:jc w:val="center"/>
              <w:rPr>
                <w:rFonts w:ascii="Verdana" w:hAnsi="Verdana"/>
                <w:sz w:val="20"/>
                <w:szCs w:val="20"/>
              </w:rPr>
            </w:pPr>
            <w:r w:rsidRPr="001046A3">
              <w:rPr>
                <w:rFonts w:ascii="Verdana" w:hAnsi="Verdana"/>
                <w:sz w:val="20"/>
                <w:szCs w:val="20"/>
              </w:rPr>
              <w:t>L’Estensore</w:t>
            </w:r>
          </w:p>
          <w:p w:rsidR="00544914" w:rsidRPr="001046A3" w:rsidRDefault="00544914" w:rsidP="009E3365">
            <w:pPr>
              <w:spacing w:after="0" w:line="360" w:lineRule="auto"/>
              <w:jc w:val="center"/>
              <w:rPr>
                <w:rFonts w:ascii="Verdana" w:hAnsi="Verdana"/>
                <w:sz w:val="20"/>
                <w:szCs w:val="20"/>
              </w:rPr>
            </w:pPr>
            <w:r>
              <w:rPr>
                <w:rFonts w:ascii="Verdana" w:hAnsi="Verdana"/>
                <w:sz w:val="20"/>
                <w:szCs w:val="20"/>
              </w:rPr>
              <w:t xml:space="preserve"> </w:t>
            </w:r>
            <w:r w:rsidR="00FF1643">
              <w:rPr>
                <w:rFonts w:ascii="Verdana" w:hAnsi="Verdana"/>
                <w:sz w:val="20"/>
                <w:szCs w:val="20"/>
              </w:rPr>
              <w:t xml:space="preserve"> </w:t>
            </w:r>
            <w:r w:rsidR="005B6394">
              <w:rPr>
                <w:rFonts w:ascii="Verdana" w:hAnsi="Verdana"/>
                <w:sz w:val="20"/>
                <w:szCs w:val="20"/>
              </w:rPr>
              <w:t xml:space="preserve">F.to </w:t>
            </w:r>
            <w:r>
              <w:rPr>
                <w:rFonts w:ascii="Verdana" w:hAnsi="Verdana"/>
                <w:sz w:val="20"/>
                <w:szCs w:val="20"/>
              </w:rPr>
              <w:t>Antonio DANDOLO</w:t>
            </w:r>
          </w:p>
        </w:tc>
        <w:tc>
          <w:tcPr>
            <w:tcW w:w="450" w:type="pct"/>
          </w:tcPr>
          <w:p w:rsidR="00544914" w:rsidRPr="001046A3" w:rsidRDefault="00544914" w:rsidP="009E3365">
            <w:pPr>
              <w:spacing w:after="0" w:line="360" w:lineRule="auto"/>
              <w:jc w:val="both"/>
              <w:rPr>
                <w:rFonts w:ascii="Verdana" w:hAnsi="Verdana"/>
                <w:sz w:val="20"/>
                <w:szCs w:val="20"/>
              </w:rPr>
            </w:pPr>
          </w:p>
        </w:tc>
        <w:tc>
          <w:tcPr>
            <w:tcW w:w="2207" w:type="pct"/>
            <w:gridSpan w:val="2"/>
          </w:tcPr>
          <w:p w:rsidR="00544914" w:rsidRDefault="00544914" w:rsidP="009E3365">
            <w:pPr>
              <w:spacing w:after="0" w:line="360" w:lineRule="auto"/>
              <w:ind w:left="-212" w:firstLine="212"/>
              <w:jc w:val="center"/>
              <w:rPr>
                <w:rFonts w:ascii="Verdana" w:hAnsi="Verdana"/>
                <w:sz w:val="20"/>
                <w:szCs w:val="20"/>
              </w:rPr>
            </w:pPr>
          </w:p>
          <w:p w:rsidR="00544914" w:rsidRPr="001046A3" w:rsidRDefault="00544914" w:rsidP="009E3365">
            <w:pPr>
              <w:spacing w:after="0" w:line="360" w:lineRule="auto"/>
              <w:ind w:left="-212" w:firstLine="212"/>
              <w:jc w:val="center"/>
              <w:rPr>
                <w:rFonts w:ascii="Verdana" w:hAnsi="Verdana"/>
                <w:sz w:val="20"/>
                <w:szCs w:val="20"/>
              </w:rPr>
            </w:pPr>
            <w:r w:rsidRPr="001046A3">
              <w:rPr>
                <w:rFonts w:ascii="Verdana" w:hAnsi="Verdana"/>
                <w:sz w:val="20"/>
                <w:szCs w:val="20"/>
              </w:rPr>
              <w:t>Il Presidente</w:t>
            </w:r>
          </w:p>
          <w:p w:rsidR="00544914" w:rsidRPr="001046A3" w:rsidRDefault="00544914" w:rsidP="009E3365">
            <w:pPr>
              <w:spacing w:after="0" w:line="360" w:lineRule="auto"/>
              <w:ind w:left="-212" w:firstLine="212"/>
              <w:jc w:val="center"/>
              <w:rPr>
                <w:rFonts w:ascii="Verdana" w:hAnsi="Verdana"/>
                <w:sz w:val="20"/>
                <w:szCs w:val="20"/>
              </w:rPr>
            </w:pPr>
            <w:r>
              <w:rPr>
                <w:rFonts w:ascii="Verdana" w:hAnsi="Verdana"/>
                <w:sz w:val="20"/>
                <w:szCs w:val="20"/>
              </w:rPr>
              <w:t xml:space="preserve"> </w:t>
            </w:r>
            <w:r w:rsidR="005B6394">
              <w:rPr>
                <w:rFonts w:ascii="Verdana" w:hAnsi="Verdana"/>
                <w:sz w:val="20"/>
                <w:szCs w:val="20"/>
              </w:rPr>
              <w:t>F.to</w:t>
            </w:r>
            <w:r w:rsidR="00FF1643">
              <w:rPr>
                <w:rFonts w:ascii="Verdana" w:hAnsi="Verdana"/>
                <w:sz w:val="20"/>
                <w:szCs w:val="20"/>
              </w:rPr>
              <w:t xml:space="preserve"> </w:t>
            </w:r>
            <w:r>
              <w:rPr>
                <w:rFonts w:ascii="Verdana" w:hAnsi="Verdana"/>
                <w:sz w:val="20"/>
                <w:szCs w:val="20"/>
              </w:rPr>
              <w:t>Antonio FRITTELLA</w:t>
            </w:r>
          </w:p>
        </w:tc>
      </w:tr>
      <w:tr w:rsidR="00544914" w:rsidRPr="001046A3" w:rsidTr="009E3365">
        <w:trPr>
          <w:gridBefore w:val="1"/>
          <w:wBefore w:w="53" w:type="pct"/>
          <w:trHeight w:val="578"/>
        </w:trPr>
        <w:tc>
          <w:tcPr>
            <w:tcW w:w="3341" w:type="pct"/>
            <w:gridSpan w:val="3"/>
          </w:tcPr>
          <w:p w:rsidR="0042313C" w:rsidRPr="001046A3" w:rsidRDefault="0042313C" w:rsidP="009E3365">
            <w:pPr>
              <w:tabs>
                <w:tab w:val="left" w:pos="3735"/>
              </w:tabs>
              <w:spacing w:after="0" w:line="567" w:lineRule="exact"/>
              <w:jc w:val="both"/>
              <w:rPr>
                <w:rFonts w:ascii="Verdana" w:hAnsi="Verdana"/>
                <w:sz w:val="20"/>
                <w:szCs w:val="20"/>
              </w:rPr>
            </w:pPr>
          </w:p>
        </w:tc>
        <w:tc>
          <w:tcPr>
            <w:tcW w:w="1606" w:type="pct"/>
            <w:gridSpan w:val="2"/>
          </w:tcPr>
          <w:p w:rsidR="00544914" w:rsidRPr="001046A3" w:rsidRDefault="00544914" w:rsidP="009E3365">
            <w:pPr>
              <w:spacing w:after="0" w:line="567" w:lineRule="exact"/>
              <w:jc w:val="both"/>
              <w:rPr>
                <w:rFonts w:ascii="Verdana" w:hAnsi="Verdana"/>
                <w:color w:val="FF0000"/>
                <w:sz w:val="20"/>
                <w:szCs w:val="20"/>
              </w:rPr>
            </w:pPr>
          </w:p>
        </w:tc>
      </w:tr>
    </w:tbl>
    <w:p w:rsidR="00544914" w:rsidRPr="000D6046" w:rsidRDefault="00544914" w:rsidP="00544914">
      <w:pPr>
        <w:autoSpaceDE w:val="0"/>
        <w:autoSpaceDN w:val="0"/>
        <w:adjustRightInd w:val="0"/>
        <w:spacing w:after="0" w:line="567" w:lineRule="exact"/>
        <w:jc w:val="both"/>
        <w:rPr>
          <w:rFonts w:ascii="Verdana" w:hAnsi="Verdana" w:cs="Verdana"/>
          <w:sz w:val="20"/>
        </w:rPr>
      </w:pPr>
      <w:r>
        <w:rPr>
          <w:rFonts w:ascii="Verdana" w:hAnsi="Verdana" w:cs="Verdana"/>
          <w:sz w:val="20"/>
        </w:rPr>
        <w:t xml:space="preserve">Depositata in Segreteria il </w:t>
      </w:r>
      <w:r w:rsidR="005B6394">
        <w:rPr>
          <w:rFonts w:ascii="Verdana" w:hAnsi="Verdana" w:cs="Verdana"/>
          <w:sz w:val="20"/>
        </w:rPr>
        <w:t>1 dicembre 2016</w:t>
      </w:r>
    </w:p>
    <w:p w:rsidR="00544914" w:rsidRPr="000D6046" w:rsidRDefault="00544914" w:rsidP="00544914">
      <w:pPr>
        <w:autoSpaceDE w:val="0"/>
        <w:autoSpaceDN w:val="0"/>
        <w:adjustRightInd w:val="0"/>
        <w:spacing w:after="0" w:line="240" w:lineRule="auto"/>
        <w:jc w:val="both"/>
        <w:rPr>
          <w:rFonts w:ascii="Verdana" w:hAnsi="Verdana" w:cs="Verdana"/>
          <w:sz w:val="20"/>
        </w:rPr>
      </w:pPr>
      <w:r w:rsidRPr="000D6046">
        <w:rPr>
          <w:rFonts w:ascii="Verdana" w:hAnsi="Verdana" w:cs="Verdana"/>
          <w:sz w:val="20"/>
        </w:rPr>
        <w:t>Il Funzionario preposto al Servizio di Supporto</w:t>
      </w:r>
    </w:p>
    <w:p w:rsidR="006E158E" w:rsidRPr="00350DFF" w:rsidRDefault="00544914" w:rsidP="00694102">
      <w:pPr>
        <w:autoSpaceDE w:val="0"/>
        <w:autoSpaceDN w:val="0"/>
        <w:adjustRightInd w:val="0"/>
        <w:spacing w:before="80" w:after="0" w:line="240" w:lineRule="auto"/>
        <w:jc w:val="both"/>
        <w:rPr>
          <w:rFonts w:ascii="Verdana" w:hAnsi="Verdana" w:cs="Verdana"/>
          <w:sz w:val="20"/>
          <w:szCs w:val="20"/>
        </w:rPr>
      </w:pPr>
      <w:r w:rsidRPr="000D6046">
        <w:rPr>
          <w:rFonts w:ascii="Verdana" w:hAnsi="Verdana" w:cs="Verdana"/>
          <w:sz w:val="20"/>
        </w:rPr>
        <w:t xml:space="preserve">      </w:t>
      </w:r>
      <w:r>
        <w:rPr>
          <w:rFonts w:ascii="Verdana" w:hAnsi="Verdana" w:cs="Verdana"/>
          <w:sz w:val="20"/>
        </w:rPr>
        <w:t xml:space="preserve">  </w:t>
      </w:r>
      <w:r w:rsidR="005B6394">
        <w:rPr>
          <w:rFonts w:ascii="Verdana" w:hAnsi="Verdana" w:cs="Verdana"/>
          <w:sz w:val="20"/>
        </w:rPr>
        <w:t>F.to</w:t>
      </w:r>
      <w:r w:rsidR="00FF1643">
        <w:rPr>
          <w:rFonts w:ascii="Verdana" w:hAnsi="Verdana" w:cs="Verdana"/>
          <w:sz w:val="20"/>
        </w:rPr>
        <w:t xml:space="preserve"> </w:t>
      </w:r>
      <w:r w:rsidRPr="000D6046">
        <w:rPr>
          <w:rFonts w:ascii="Verdana" w:hAnsi="Verdana" w:cs="Verdana"/>
          <w:sz w:val="20"/>
        </w:rPr>
        <w:t>Lorella GIAMMARIA</w:t>
      </w:r>
    </w:p>
    <w:sectPr w:rsidR="006E158E" w:rsidRPr="00350DFF" w:rsidSect="00DB51C4">
      <w:headerReference w:type="even" r:id="rId9"/>
      <w:headerReference w:type="default" r:id="rId10"/>
      <w:pgSz w:w="11906" w:h="16838"/>
      <w:pgMar w:top="1701" w:right="14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C6" w:rsidRDefault="003737C6">
      <w:r>
        <w:separator/>
      </w:r>
    </w:p>
  </w:endnote>
  <w:endnote w:type="continuationSeparator" w:id="0">
    <w:p w:rsidR="003737C6" w:rsidRDefault="003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C6" w:rsidRDefault="003737C6">
      <w:r>
        <w:separator/>
      </w:r>
    </w:p>
  </w:footnote>
  <w:footnote w:type="continuationSeparator" w:id="0">
    <w:p w:rsidR="003737C6" w:rsidRDefault="0037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A7" w:rsidRDefault="00B14FA7"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FA7" w:rsidRDefault="00B14F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A7" w:rsidRDefault="00B14FA7"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6BF8">
      <w:rPr>
        <w:rStyle w:val="Numeropagina"/>
        <w:noProof/>
      </w:rPr>
      <w:t>2</w:t>
    </w:r>
    <w:r>
      <w:rPr>
        <w:rStyle w:val="Numeropagina"/>
      </w:rPr>
      <w:fldChar w:fldCharType="end"/>
    </w:r>
  </w:p>
  <w:p w:rsidR="00B14FA7" w:rsidRDefault="00B14FA7" w:rsidP="003E36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0DA6C78"/>
    <w:name w:val="WW8Num5"/>
    <w:lvl w:ilvl="0">
      <w:start w:val="1"/>
      <w:numFmt w:val="bullet"/>
      <w:lvlText w:val=""/>
      <w:lvlJc w:val="left"/>
      <w:pPr>
        <w:tabs>
          <w:tab w:val="num" w:pos="-142"/>
        </w:tabs>
        <w:ind w:left="644" w:hanging="360"/>
      </w:pPr>
      <w:rPr>
        <w:rFonts w:ascii="Wingdings" w:hAnsi="Wingdings" w:cs="Wingdings" w:hint="default"/>
        <w:color w:val="auto"/>
        <w:sz w:val="16"/>
        <w:szCs w:val="16"/>
      </w:rPr>
    </w:lvl>
  </w:abstractNum>
  <w:abstractNum w:abstractNumId="1" w15:restartNumberingAfterBreak="0">
    <w:nsid w:val="0725518C"/>
    <w:multiLevelType w:val="hybridMultilevel"/>
    <w:tmpl w:val="509A8CE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E186002"/>
    <w:multiLevelType w:val="hybridMultilevel"/>
    <w:tmpl w:val="0CA205AA"/>
    <w:lvl w:ilvl="0" w:tplc="0410000F">
      <w:start w:val="1"/>
      <w:numFmt w:val="decimal"/>
      <w:lvlText w:val="%1."/>
      <w:lvlJc w:val="left"/>
      <w:pPr>
        <w:ind w:left="1259" w:hanging="360"/>
      </w:pPr>
    </w:lvl>
    <w:lvl w:ilvl="1" w:tplc="04100019" w:tentative="1">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3" w15:restartNumberingAfterBreak="0">
    <w:nsid w:val="0F97533A"/>
    <w:multiLevelType w:val="hybridMultilevel"/>
    <w:tmpl w:val="9F9CA2A0"/>
    <w:lvl w:ilvl="0" w:tplc="04100011">
      <w:start w:val="1"/>
      <w:numFmt w:val="decimal"/>
      <w:lvlText w:val="%1)"/>
      <w:lvlJc w:val="left"/>
      <w:pPr>
        <w:ind w:left="41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0B0BDB"/>
    <w:multiLevelType w:val="hybridMultilevel"/>
    <w:tmpl w:val="22B84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AC75C2"/>
    <w:multiLevelType w:val="hybridMultilevel"/>
    <w:tmpl w:val="BCEE72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7685C"/>
    <w:multiLevelType w:val="hybridMultilevel"/>
    <w:tmpl w:val="0BF64A94"/>
    <w:lvl w:ilvl="0" w:tplc="CBFAEFEE">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2DE54FC"/>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DC33E41"/>
    <w:multiLevelType w:val="hybridMultilevel"/>
    <w:tmpl w:val="C074B61E"/>
    <w:lvl w:ilvl="0" w:tplc="144035C8">
      <w:start w:val="1"/>
      <w:numFmt w:val="bullet"/>
      <w:lvlText w:val="-"/>
      <w:lvlJc w:val="left"/>
      <w:pPr>
        <w:ind w:left="786" w:hanging="360"/>
      </w:pPr>
      <w:rPr>
        <w:rFonts w:ascii="Times New Roman" w:eastAsia="Times New Roman" w:hAnsi="Times New Roman" w:cs="Times New Roman" w:hint="default"/>
        <w:color w:val="auto"/>
        <w:sz w:val="16"/>
        <w:szCs w:val="16"/>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9" w15:restartNumberingAfterBreak="0">
    <w:nsid w:val="2ED840FC"/>
    <w:multiLevelType w:val="hybridMultilevel"/>
    <w:tmpl w:val="71424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5E5415"/>
    <w:multiLevelType w:val="hybridMultilevel"/>
    <w:tmpl w:val="E8F0F6F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0E27A5E"/>
    <w:multiLevelType w:val="hybridMultilevel"/>
    <w:tmpl w:val="938849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33713424"/>
    <w:multiLevelType w:val="hybridMultilevel"/>
    <w:tmpl w:val="0ADAA4C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F60094A"/>
    <w:multiLevelType w:val="hybridMultilevel"/>
    <w:tmpl w:val="FBD85A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615FBF"/>
    <w:multiLevelType w:val="hybridMultilevel"/>
    <w:tmpl w:val="F4482478"/>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5" w15:restartNumberingAfterBreak="0">
    <w:nsid w:val="490F0A17"/>
    <w:multiLevelType w:val="hybridMultilevel"/>
    <w:tmpl w:val="82A695D0"/>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6" w15:restartNumberingAfterBreak="0">
    <w:nsid w:val="4C06507F"/>
    <w:multiLevelType w:val="hybridMultilevel"/>
    <w:tmpl w:val="8CAC02F8"/>
    <w:lvl w:ilvl="0" w:tplc="374A804C">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50161977"/>
    <w:multiLevelType w:val="hybridMultilevel"/>
    <w:tmpl w:val="CA2A60D2"/>
    <w:lvl w:ilvl="0" w:tplc="0410000B">
      <w:start w:val="1"/>
      <w:numFmt w:val="bullet"/>
      <w:lvlText w:val=""/>
      <w:lvlJc w:val="left"/>
      <w:pPr>
        <w:ind w:left="1356" w:hanging="360"/>
      </w:pPr>
      <w:rPr>
        <w:rFonts w:ascii="Wingdings" w:hAnsi="Wingdings"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tentative="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abstractNum w:abstractNumId="18" w15:restartNumberingAfterBreak="0">
    <w:nsid w:val="626037D4"/>
    <w:multiLevelType w:val="hybridMultilevel"/>
    <w:tmpl w:val="FBC68B32"/>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9" w15:restartNumberingAfterBreak="0">
    <w:nsid w:val="63643172"/>
    <w:multiLevelType w:val="hybridMultilevel"/>
    <w:tmpl w:val="B2364330"/>
    <w:lvl w:ilvl="0" w:tplc="F466A446">
      <w:start w:val="16"/>
      <w:numFmt w:val="bullet"/>
      <w:lvlText w:val="-"/>
      <w:lvlJc w:val="left"/>
      <w:pPr>
        <w:tabs>
          <w:tab w:val="num" w:pos="720"/>
        </w:tabs>
        <w:ind w:left="720" w:hanging="360"/>
      </w:pPr>
      <w:rPr>
        <w:rFonts w:ascii="Verdana" w:eastAsia="Times New Roman" w:hAnsi="Verdana"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A285E"/>
    <w:multiLevelType w:val="hybridMultilevel"/>
    <w:tmpl w:val="AC7E0F9E"/>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70F4B8A"/>
    <w:multiLevelType w:val="hybridMultilevel"/>
    <w:tmpl w:val="4874D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8B6E6D"/>
    <w:multiLevelType w:val="multilevel"/>
    <w:tmpl w:val="DFC2B7C8"/>
    <w:lvl w:ilvl="0">
      <w:start w:val="1"/>
      <w:numFmt w:val="decimal"/>
      <w:pStyle w:val="titoloparagrafodeliber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885E05"/>
    <w:multiLevelType w:val="hybridMultilevel"/>
    <w:tmpl w:val="58E24380"/>
    <w:lvl w:ilvl="0" w:tplc="645460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C03C54"/>
    <w:multiLevelType w:val="hybridMultilevel"/>
    <w:tmpl w:val="5B5A08DC"/>
    <w:lvl w:ilvl="0" w:tplc="31BA362A">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2"/>
  </w:num>
  <w:num w:numId="5">
    <w:abstractNumId w:val="13"/>
  </w:num>
  <w:num w:numId="6">
    <w:abstractNumId w:val="3"/>
  </w:num>
  <w:num w:numId="7">
    <w:abstractNumId w:val="21"/>
  </w:num>
  <w:num w:numId="8">
    <w:abstractNumId w:val="24"/>
  </w:num>
  <w:num w:numId="9">
    <w:abstractNumId w:val="14"/>
  </w:num>
  <w:num w:numId="10">
    <w:abstractNumId w:val="8"/>
  </w:num>
  <w:num w:numId="11">
    <w:abstractNumId w:val="8"/>
  </w:num>
  <w:num w:numId="12">
    <w:abstractNumId w:val="18"/>
  </w:num>
  <w:num w:numId="13">
    <w:abstractNumId w:val="11"/>
  </w:num>
  <w:num w:numId="14">
    <w:abstractNumId w:val="1"/>
  </w:num>
  <w:num w:numId="15">
    <w:abstractNumId w:val="15"/>
  </w:num>
  <w:num w:numId="16">
    <w:abstractNumId w:val="2"/>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2"/>
  </w:num>
  <w:num w:numId="20">
    <w:abstractNumId w:val="7"/>
  </w:num>
  <w:num w:numId="21">
    <w:abstractNumId w:val="23"/>
  </w:num>
  <w:num w:numId="22">
    <w:abstractNumId w:val="0"/>
  </w:num>
  <w:num w:numId="23">
    <w:abstractNumId w:val="9"/>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6"/>
    <w:rsid w:val="000000F6"/>
    <w:rsid w:val="00000C93"/>
    <w:rsid w:val="00002D20"/>
    <w:rsid w:val="00003B10"/>
    <w:rsid w:val="00005156"/>
    <w:rsid w:val="00005E1A"/>
    <w:rsid w:val="00006481"/>
    <w:rsid w:val="0001696B"/>
    <w:rsid w:val="00017EC1"/>
    <w:rsid w:val="00020519"/>
    <w:rsid w:val="000213BB"/>
    <w:rsid w:val="00023CFB"/>
    <w:rsid w:val="0002476C"/>
    <w:rsid w:val="00025AE8"/>
    <w:rsid w:val="00026095"/>
    <w:rsid w:val="000276D0"/>
    <w:rsid w:val="000315E4"/>
    <w:rsid w:val="00032388"/>
    <w:rsid w:val="00032961"/>
    <w:rsid w:val="00032A5A"/>
    <w:rsid w:val="000359CD"/>
    <w:rsid w:val="000359E0"/>
    <w:rsid w:val="0003714B"/>
    <w:rsid w:val="000406FD"/>
    <w:rsid w:val="00040EA0"/>
    <w:rsid w:val="00041F5E"/>
    <w:rsid w:val="0004270A"/>
    <w:rsid w:val="00042763"/>
    <w:rsid w:val="0004394B"/>
    <w:rsid w:val="00043EBF"/>
    <w:rsid w:val="00045E24"/>
    <w:rsid w:val="000468BC"/>
    <w:rsid w:val="00050631"/>
    <w:rsid w:val="0005084D"/>
    <w:rsid w:val="000520D2"/>
    <w:rsid w:val="00053FB8"/>
    <w:rsid w:val="00054F67"/>
    <w:rsid w:val="00056D12"/>
    <w:rsid w:val="000577D3"/>
    <w:rsid w:val="000634F6"/>
    <w:rsid w:val="00063A92"/>
    <w:rsid w:val="00064094"/>
    <w:rsid w:val="00066612"/>
    <w:rsid w:val="000718C3"/>
    <w:rsid w:val="00071E48"/>
    <w:rsid w:val="00071EEE"/>
    <w:rsid w:val="00071FF0"/>
    <w:rsid w:val="0007256C"/>
    <w:rsid w:val="000729BB"/>
    <w:rsid w:val="00074564"/>
    <w:rsid w:val="00074721"/>
    <w:rsid w:val="00074B55"/>
    <w:rsid w:val="0007549C"/>
    <w:rsid w:val="00077162"/>
    <w:rsid w:val="0007754B"/>
    <w:rsid w:val="0007789F"/>
    <w:rsid w:val="0007795C"/>
    <w:rsid w:val="00080F10"/>
    <w:rsid w:val="000837C9"/>
    <w:rsid w:val="00085A0C"/>
    <w:rsid w:val="00091C18"/>
    <w:rsid w:val="0009395C"/>
    <w:rsid w:val="000944EC"/>
    <w:rsid w:val="0009592B"/>
    <w:rsid w:val="000A149F"/>
    <w:rsid w:val="000A3A7B"/>
    <w:rsid w:val="000A52A8"/>
    <w:rsid w:val="000A6050"/>
    <w:rsid w:val="000B1460"/>
    <w:rsid w:val="000B2B09"/>
    <w:rsid w:val="000B3682"/>
    <w:rsid w:val="000B4108"/>
    <w:rsid w:val="000B5D40"/>
    <w:rsid w:val="000C0AC7"/>
    <w:rsid w:val="000C3CD6"/>
    <w:rsid w:val="000C73F6"/>
    <w:rsid w:val="000D0155"/>
    <w:rsid w:val="000D1401"/>
    <w:rsid w:val="000D3D07"/>
    <w:rsid w:val="000D4821"/>
    <w:rsid w:val="000D5293"/>
    <w:rsid w:val="000D550F"/>
    <w:rsid w:val="000D5B1B"/>
    <w:rsid w:val="000D6046"/>
    <w:rsid w:val="000D6923"/>
    <w:rsid w:val="000E08AA"/>
    <w:rsid w:val="000E1135"/>
    <w:rsid w:val="000E74D4"/>
    <w:rsid w:val="000F5BB4"/>
    <w:rsid w:val="000F67A3"/>
    <w:rsid w:val="00100240"/>
    <w:rsid w:val="001029A4"/>
    <w:rsid w:val="001046A3"/>
    <w:rsid w:val="00106293"/>
    <w:rsid w:val="00112BB7"/>
    <w:rsid w:val="00114FFF"/>
    <w:rsid w:val="00121073"/>
    <w:rsid w:val="001229DC"/>
    <w:rsid w:val="00122F0C"/>
    <w:rsid w:val="001267CF"/>
    <w:rsid w:val="00126884"/>
    <w:rsid w:val="00127331"/>
    <w:rsid w:val="00132B5F"/>
    <w:rsid w:val="00133DED"/>
    <w:rsid w:val="00133DF2"/>
    <w:rsid w:val="00140568"/>
    <w:rsid w:val="00141A26"/>
    <w:rsid w:val="001463CD"/>
    <w:rsid w:val="00147441"/>
    <w:rsid w:val="001476DE"/>
    <w:rsid w:val="00150AC9"/>
    <w:rsid w:val="0015135C"/>
    <w:rsid w:val="0015171F"/>
    <w:rsid w:val="00151D47"/>
    <w:rsid w:val="00152E80"/>
    <w:rsid w:val="0015578F"/>
    <w:rsid w:val="00160E7A"/>
    <w:rsid w:val="0016158C"/>
    <w:rsid w:val="0016673C"/>
    <w:rsid w:val="001718FB"/>
    <w:rsid w:val="00171AAB"/>
    <w:rsid w:val="00173E71"/>
    <w:rsid w:val="00175784"/>
    <w:rsid w:val="00177DA5"/>
    <w:rsid w:val="00180C28"/>
    <w:rsid w:val="00181761"/>
    <w:rsid w:val="00181A15"/>
    <w:rsid w:val="00182DEF"/>
    <w:rsid w:val="001836C0"/>
    <w:rsid w:val="00186548"/>
    <w:rsid w:val="001865FE"/>
    <w:rsid w:val="00190833"/>
    <w:rsid w:val="00192FDF"/>
    <w:rsid w:val="00196168"/>
    <w:rsid w:val="0019669E"/>
    <w:rsid w:val="00197B31"/>
    <w:rsid w:val="001A0841"/>
    <w:rsid w:val="001A1127"/>
    <w:rsid w:val="001A15F8"/>
    <w:rsid w:val="001A1ED4"/>
    <w:rsid w:val="001A2B78"/>
    <w:rsid w:val="001A4FAE"/>
    <w:rsid w:val="001A603D"/>
    <w:rsid w:val="001A71B1"/>
    <w:rsid w:val="001A7612"/>
    <w:rsid w:val="001A7BEA"/>
    <w:rsid w:val="001B45A2"/>
    <w:rsid w:val="001B55C3"/>
    <w:rsid w:val="001C0059"/>
    <w:rsid w:val="001C0A28"/>
    <w:rsid w:val="001C1124"/>
    <w:rsid w:val="001C12D7"/>
    <w:rsid w:val="001C21AC"/>
    <w:rsid w:val="001C5097"/>
    <w:rsid w:val="001C6155"/>
    <w:rsid w:val="001D0FBA"/>
    <w:rsid w:val="001D4382"/>
    <w:rsid w:val="001D455A"/>
    <w:rsid w:val="001D5577"/>
    <w:rsid w:val="001D7406"/>
    <w:rsid w:val="001E07F9"/>
    <w:rsid w:val="001E1CE1"/>
    <w:rsid w:val="001E25CC"/>
    <w:rsid w:val="001E5700"/>
    <w:rsid w:val="001F1620"/>
    <w:rsid w:val="001F2B8D"/>
    <w:rsid w:val="001F36AB"/>
    <w:rsid w:val="001F6098"/>
    <w:rsid w:val="00206AA1"/>
    <w:rsid w:val="00206BF8"/>
    <w:rsid w:val="00207424"/>
    <w:rsid w:val="002076C8"/>
    <w:rsid w:val="00211D1D"/>
    <w:rsid w:val="002158A1"/>
    <w:rsid w:val="0021669B"/>
    <w:rsid w:val="00220221"/>
    <w:rsid w:val="00220CC3"/>
    <w:rsid w:val="00223D25"/>
    <w:rsid w:val="0022620E"/>
    <w:rsid w:val="00230BC7"/>
    <w:rsid w:val="00233263"/>
    <w:rsid w:val="00234678"/>
    <w:rsid w:val="00235757"/>
    <w:rsid w:val="002367C6"/>
    <w:rsid w:val="002377FE"/>
    <w:rsid w:val="002421D1"/>
    <w:rsid w:val="0024312E"/>
    <w:rsid w:val="0024537D"/>
    <w:rsid w:val="002475F0"/>
    <w:rsid w:val="00253689"/>
    <w:rsid w:val="00255EA8"/>
    <w:rsid w:val="00262020"/>
    <w:rsid w:val="00263C85"/>
    <w:rsid w:val="00263DA5"/>
    <w:rsid w:val="00263F73"/>
    <w:rsid w:val="00264D49"/>
    <w:rsid w:val="00265907"/>
    <w:rsid w:val="00267A41"/>
    <w:rsid w:val="0027134B"/>
    <w:rsid w:val="00272ACD"/>
    <w:rsid w:val="002731C4"/>
    <w:rsid w:val="00273374"/>
    <w:rsid w:val="00277CCB"/>
    <w:rsid w:val="00280E96"/>
    <w:rsid w:val="00281572"/>
    <w:rsid w:val="002819A6"/>
    <w:rsid w:val="00282918"/>
    <w:rsid w:val="0028321C"/>
    <w:rsid w:val="00285569"/>
    <w:rsid w:val="00290074"/>
    <w:rsid w:val="00291DEB"/>
    <w:rsid w:val="0029362D"/>
    <w:rsid w:val="0029511B"/>
    <w:rsid w:val="002A0016"/>
    <w:rsid w:val="002A00D3"/>
    <w:rsid w:val="002A09A0"/>
    <w:rsid w:val="002A4548"/>
    <w:rsid w:val="002A4D3C"/>
    <w:rsid w:val="002B17F1"/>
    <w:rsid w:val="002B19C4"/>
    <w:rsid w:val="002B1A1D"/>
    <w:rsid w:val="002B201E"/>
    <w:rsid w:val="002B300A"/>
    <w:rsid w:val="002B4235"/>
    <w:rsid w:val="002B56D0"/>
    <w:rsid w:val="002B766C"/>
    <w:rsid w:val="002C12ED"/>
    <w:rsid w:val="002C1C73"/>
    <w:rsid w:val="002C65DF"/>
    <w:rsid w:val="002D1794"/>
    <w:rsid w:val="002D1C52"/>
    <w:rsid w:val="002D2C2E"/>
    <w:rsid w:val="002D3144"/>
    <w:rsid w:val="002D4E05"/>
    <w:rsid w:val="002E1C2D"/>
    <w:rsid w:val="002E257A"/>
    <w:rsid w:val="002E4752"/>
    <w:rsid w:val="002E488E"/>
    <w:rsid w:val="002E6FFB"/>
    <w:rsid w:val="002F0517"/>
    <w:rsid w:val="002F10B7"/>
    <w:rsid w:val="002F1DA1"/>
    <w:rsid w:val="002F77BE"/>
    <w:rsid w:val="003016C3"/>
    <w:rsid w:val="003046D9"/>
    <w:rsid w:val="003070C9"/>
    <w:rsid w:val="0031255B"/>
    <w:rsid w:val="00314882"/>
    <w:rsid w:val="003153E3"/>
    <w:rsid w:val="00315EB6"/>
    <w:rsid w:val="00316461"/>
    <w:rsid w:val="003179F2"/>
    <w:rsid w:val="00321E9B"/>
    <w:rsid w:val="00323DDC"/>
    <w:rsid w:val="00324C5E"/>
    <w:rsid w:val="00325016"/>
    <w:rsid w:val="00326E2C"/>
    <w:rsid w:val="0032715D"/>
    <w:rsid w:val="00330101"/>
    <w:rsid w:val="00330827"/>
    <w:rsid w:val="00330E6B"/>
    <w:rsid w:val="00331D87"/>
    <w:rsid w:val="00333329"/>
    <w:rsid w:val="00336A69"/>
    <w:rsid w:val="00340A67"/>
    <w:rsid w:val="00342224"/>
    <w:rsid w:val="00344F28"/>
    <w:rsid w:val="0034503C"/>
    <w:rsid w:val="0034631E"/>
    <w:rsid w:val="0034652E"/>
    <w:rsid w:val="0034661E"/>
    <w:rsid w:val="00350DCF"/>
    <w:rsid w:val="00350DFF"/>
    <w:rsid w:val="003510D6"/>
    <w:rsid w:val="0035308A"/>
    <w:rsid w:val="0035474E"/>
    <w:rsid w:val="00354FC3"/>
    <w:rsid w:val="00355071"/>
    <w:rsid w:val="003563D9"/>
    <w:rsid w:val="003605D5"/>
    <w:rsid w:val="00360603"/>
    <w:rsid w:val="00360BF7"/>
    <w:rsid w:val="00363758"/>
    <w:rsid w:val="0036472C"/>
    <w:rsid w:val="00364862"/>
    <w:rsid w:val="00364E49"/>
    <w:rsid w:val="00367770"/>
    <w:rsid w:val="0037129C"/>
    <w:rsid w:val="00372302"/>
    <w:rsid w:val="003737C6"/>
    <w:rsid w:val="00373E4C"/>
    <w:rsid w:val="0037519E"/>
    <w:rsid w:val="00375A44"/>
    <w:rsid w:val="0038196E"/>
    <w:rsid w:val="00382E20"/>
    <w:rsid w:val="00383A7C"/>
    <w:rsid w:val="00385463"/>
    <w:rsid w:val="00385582"/>
    <w:rsid w:val="00387899"/>
    <w:rsid w:val="003910CE"/>
    <w:rsid w:val="00391E61"/>
    <w:rsid w:val="003923E1"/>
    <w:rsid w:val="0039297F"/>
    <w:rsid w:val="00392BE6"/>
    <w:rsid w:val="00393A06"/>
    <w:rsid w:val="00393DBF"/>
    <w:rsid w:val="00393F93"/>
    <w:rsid w:val="003A0FA5"/>
    <w:rsid w:val="003A43D5"/>
    <w:rsid w:val="003A492F"/>
    <w:rsid w:val="003A5C42"/>
    <w:rsid w:val="003A644B"/>
    <w:rsid w:val="003B21E3"/>
    <w:rsid w:val="003B2366"/>
    <w:rsid w:val="003B37C4"/>
    <w:rsid w:val="003B4767"/>
    <w:rsid w:val="003B4CD8"/>
    <w:rsid w:val="003B53F3"/>
    <w:rsid w:val="003B5FC9"/>
    <w:rsid w:val="003B6F5E"/>
    <w:rsid w:val="003B71E2"/>
    <w:rsid w:val="003B7812"/>
    <w:rsid w:val="003C07BB"/>
    <w:rsid w:val="003C0F87"/>
    <w:rsid w:val="003C207A"/>
    <w:rsid w:val="003C66B9"/>
    <w:rsid w:val="003D0E6B"/>
    <w:rsid w:val="003D11CD"/>
    <w:rsid w:val="003D1360"/>
    <w:rsid w:val="003D1372"/>
    <w:rsid w:val="003D1562"/>
    <w:rsid w:val="003D1B71"/>
    <w:rsid w:val="003D2683"/>
    <w:rsid w:val="003D3463"/>
    <w:rsid w:val="003D3BC4"/>
    <w:rsid w:val="003D4124"/>
    <w:rsid w:val="003D6AE0"/>
    <w:rsid w:val="003E2F81"/>
    <w:rsid w:val="003E3625"/>
    <w:rsid w:val="003E625C"/>
    <w:rsid w:val="003E650F"/>
    <w:rsid w:val="003F02ED"/>
    <w:rsid w:val="003F03DD"/>
    <w:rsid w:val="003F2B45"/>
    <w:rsid w:val="003F6207"/>
    <w:rsid w:val="004009A0"/>
    <w:rsid w:val="00401E63"/>
    <w:rsid w:val="0040295B"/>
    <w:rsid w:val="00403CA8"/>
    <w:rsid w:val="004045B2"/>
    <w:rsid w:val="00406367"/>
    <w:rsid w:val="004069B9"/>
    <w:rsid w:val="004076DB"/>
    <w:rsid w:val="00410F3E"/>
    <w:rsid w:val="0041138B"/>
    <w:rsid w:val="00411F2E"/>
    <w:rsid w:val="0041241B"/>
    <w:rsid w:val="0041466B"/>
    <w:rsid w:val="00414E83"/>
    <w:rsid w:val="00415111"/>
    <w:rsid w:val="00417525"/>
    <w:rsid w:val="004205DA"/>
    <w:rsid w:val="0042313C"/>
    <w:rsid w:val="00425EF9"/>
    <w:rsid w:val="00425FFB"/>
    <w:rsid w:val="00434946"/>
    <w:rsid w:val="00434C4D"/>
    <w:rsid w:val="00434D49"/>
    <w:rsid w:val="004367D1"/>
    <w:rsid w:val="00444B01"/>
    <w:rsid w:val="00446A8A"/>
    <w:rsid w:val="0044776B"/>
    <w:rsid w:val="00452556"/>
    <w:rsid w:val="00453582"/>
    <w:rsid w:val="00455085"/>
    <w:rsid w:val="00456171"/>
    <w:rsid w:val="004567EF"/>
    <w:rsid w:val="00465182"/>
    <w:rsid w:val="00466595"/>
    <w:rsid w:val="004707EF"/>
    <w:rsid w:val="00472753"/>
    <w:rsid w:val="00473303"/>
    <w:rsid w:val="00473953"/>
    <w:rsid w:val="0047681A"/>
    <w:rsid w:val="00480A5D"/>
    <w:rsid w:val="004836CB"/>
    <w:rsid w:val="0048468C"/>
    <w:rsid w:val="00484B36"/>
    <w:rsid w:val="00484FB1"/>
    <w:rsid w:val="0048519F"/>
    <w:rsid w:val="004866CD"/>
    <w:rsid w:val="004869FD"/>
    <w:rsid w:val="004902CE"/>
    <w:rsid w:val="00490E54"/>
    <w:rsid w:val="00491F90"/>
    <w:rsid w:val="00492B32"/>
    <w:rsid w:val="00493510"/>
    <w:rsid w:val="00494C41"/>
    <w:rsid w:val="00496195"/>
    <w:rsid w:val="004A0428"/>
    <w:rsid w:val="004A0646"/>
    <w:rsid w:val="004A11A6"/>
    <w:rsid w:val="004A16CE"/>
    <w:rsid w:val="004A25A7"/>
    <w:rsid w:val="004A4B8E"/>
    <w:rsid w:val="004A76C5"/>
    <w:rsid w:val="004B4B30"/>
    <w:rsid w:val="004B7F50"/>
    <w:rsid w:val="004C2AFD"/>
    <w:rsid w:val="004C32E5"/>
    <w:rsid w:val="004C410C"/>
    <w:rsid w:val="004C63B1"/>
    <w:rsid w:val="004C6DA5"/>
    <w:rsid w:val="004D44CA"/>
    <w:rsid w:val="004D4A98"/>
    <w:rsid w:val="004D79FC"/>
    <w:rsid w:val="004E0074"/>
    <w:rsid w:val="004E1101"/>
    <w:rsid w:val="004E461B"/>
    <w:rsid w:val="004F17CF"/>
    <w:rsid w:val="004F2ECB"/>
    <w:rsid w:val="00501AD6"/>
    <w:rsid w:val="00503B7A"/>
    <w:rsid w:val="005047D3"/>
    <w:rsid w:val="00504ADF"/>
    <w:rsid w:val="00505CD1"/>
    <w:rsid w:val="0051267D"/>
    <w:rsid w:val="00514828"/>
    <w:rsid w:val="005153A5"/>
    <w:rsid w:val="005157A8"/>
    <w:rsid w:val="005167C5"/>
    <w:rsid w:val="00523467"/>
    <w:rsid w:val="00527C3A"/>
    <w:rsid w:val="00530C99"/>
    <w:rsid w:val="00531F53"/>
    <w:rsid w:val="00534848"/>
    <w:rsid w:val="005348D4"/>
    <w:rsid w:val="005368D5"/>
    <w:rsid w:val="00542AFD"/>
    <w:rsid w:val="00543B96"/>
    <w:rsid w:val="005445C9"/>
    <w:rsid w:val="005448D1"/>
    <w:rsid w:val="00544914"/>
    <w:rsid w:val="005453CC"/>
    <w:rsid w:val="00546574"/>
    <w:rsid w:val="005468B1"/>
    <w:rsid w:val="005469CD"/>
    <w:rsid w:val="005469F2"/>
    <w:rsid w:val="00547424"/>
    <w:rsid w:val="005506E5"/>
    <w:rsid w:val="005521B5"/>
    <w:rsid w:val="00553917"/>
    <w:rsid w:val="00553927"/>
    <w:rsid w:val="005546A4"/>
    <w:rsid w:val="00554BB7"/>
    <w:rsid w:val="005559DC"/>
    <w:rsid w:val="00556C18"/>
    <w:rsid w:val="00557D20"/>
    <w:rsid w:val="00560D46"/>
    <w:rsid w:val="00565E43"/>
    <w:rsid w:val="005677FE"/>
    <w:rsid w:val="0057631E"/>
    <w:rsid w:val="00580DC3"/>
    <w:rsid w:val="005825AF"/>
    <w:rsid w:val="00583F65"/>
    <w:rsid w:val="00585DA0"/>
    <w:rsid w:val="00586213"/>
    <w:rsid w:val="00591D03"/>
    <w:rsid w:val="0059352E"/>
    <w:rsid w:val="00593593"/>
    <w:rsid w:val="00593D17"/>
    <w:rsid w:val="005945F1"/>
    <w:rsid w:val="005969BF"/>
    <w:rsid w:val="00596B6B"/>
    <w:rsid w:val="005A02D7"/>
    <w:rsid w:val="005A0D3A"/>
    <w:rsid w:val="005A0DD8"/>
    <w:rsid w:val="005A1A83"/>
    <w:rsid w:val="005A5D4A"/>
    <w:rsid w:val="005A64F2"/>
    <w:rsid w:val="005B0DF8"/>
    <w:rsid w:val="005B1400"/>
    <w:rsid w:val="005B2ED9"/>
    <w:rsid w:val="005B4B29"/>
    <w:rsid w:val="005B6394"/>
    <w:rsid w:val="005B671C"/>
    <w:rsid w:val="005B6DCB"/>
    <w:rsid w:val="005B72E2"/>
    <w:rsid w:val="005C276C"/>
    <w:rsid w:val="005C6935"/>
    <w:rsid w:val="005C6A3D"/>
    <w:rsid w:val="005D0500"/>
    <w:rsid w:val="005D05A9"/>
    <w:rsid w:val="005D0C86"/>
    <w:rsid w:val="005D16D0"/>
    <w:rsid w:val="005D1BCB"/>
    <w:rsid w:val="005D2695"/>
    <w:rsid w:val="005D37FE"/>
    <w:rsid w:val="005D3EAF"/>
    <w:rsid w:val="005D6100"/>
    <w:rsid w:val="005E2375"/>
    <w:rsid w:val="005E313D"/>
    <w:rsid w:val="005E4024"/>
    <w:rsid w:val="005E4393"/>
    <w:rsid w:val="005E4BEC"/>
    <w:rsid w:val="005E58F6"/>
    <w:rsid w:val="005E7A35"/>
    <w:rsid w:val="005F13FE"/>
    <w:rsid w:val="005F1ADD"/>
    <w:rsid w:val="005F31D2"/>
    <w:rsid w:val="005F3720"/>
    <w:rsid w:val="005F3916"/>
    <w:rsid w:val="005F713B"/>
    <w:rsid w:val="00601279"/>
    <w:rsid w:val="00601E1E"/>
    <w:rsid w:val="00602EF7"/>
    <w:rsid w:val="006034A1"/>
    <w:rsid w:val="0060438B"/>
    <w:rsid w:val="00605D8F"/>
    <w:rsid w:val="00606227"/>
    <w:rsid w:val="0060764B"/>
    <w:rsid w:val="00607930"/>
    <w:rsid w:val="0061363E"/>
    <w:rsid w:val="006140E7"/>
    <w:rsid w:val="00616636"/>
    <w:rsid w:val="00617189"/>
    <w:rsid w:val="00617BF1"/>
    <w:rsid w:val="00617DA4"/>
    <w:rsid w:val="00622FC6"/>
    <w:rsid w:val="006261D8"/>
    <w:rsid w:val="0062674B"/>
    <w:rsid w:val="00631A90"/>
    <w:rsid w:val="00634DEC"/>
    <w:rsid w:val="00635B9D"/>
    <w:rsid w:val="00640F55"/>
    <w:rsid w:val="0064173E"/>
    <w:rsid w:val="00642B3F"/>
    <w:rsid w:val="00642B42"/>
    <w:rsid w:val="00644BD5"/>
    <w:rsid w:val="00644DE0"/>
    <w:rsid w:val="0064501D"/>
    <w:rsid w:val="00651B92"/>
    <w:rsid w:val="006541BF"/>
    <w:rsid w:val="00654B71"/>
    <w:rsid w:val="00655317"/>
    <w:rsid w:val="0065616C"/>
    <w:rsid w:val="00660A62"/>
    <w:rsid w:val="00662112"/>
    <w:rsid w:val="006629A4"/>
    <w:rsid w:val="006658A5"/>
    <w:rsid w:val="00665DD5"/>
    <w:rsid w:val="00666F11"/>
    <w:rsid w:val="00671870"/>
    <w:rsid w:val="0067190E"/>
    <w:rsid w:val="00675B76"/>
    <w:rsid w:val="00680E94"/>
    <w:rsid w:val="00682463"/>
    <w:rsid w:val="006863E2"/>
    <w:rsid w:val="0068740F"/>
    <w:rsid w:val="00687ACA"/>
    <w:rsid w:val="00687E1D"/>
    <w:rsid w:val="00694102"/>
    <w:rsid w:val="006A0F2D"/>
    <w:rsid w:val="006A2A39"/>
    <w:rsid w:val="006A2D0A"/>
    <w:rsid w:val="006A3432"/>
    <w:rsid w:val="006A35A2"/>
    <w:rsid w:val="006A52F0"/>
    <w:rsid w:val="006A58EA"/>
    <w:rsid w:val="006A79A5"/>
    <w:rsid w:val="006B1B56"/>
    <w:rsid w:val="006B35CA"/>
    <w:rsid w:val="006B3F35"/>
    <w:rsid w:val="006B45FF"/>
    <w:rsid w:val="006B6EAC"/>
    <w:rsid w:val="006B71D1"/>
    <w:rsid w:val="006B78DD"/>
    <w:rsid w:val="006C1C1F"/>
    <w:rsid w:val="006C207E"/>
    <w:rsid w:val="006C4220"/>
    <w:rsid w:val="006C5C1B"/>
    <w:rsid w:val="006C6443"/>
    <w:rsid w:val="006C7E4D"/>
    <w:rsid w:val="006D350D"/>
    <w:rsid w:val="006D61CD"/>
    <w:rsid w:val="006D6A89"/>
    <w:rsid w:val="006D7E49"/>
    <w:rsid w:val="006E02BE"/>
    <w:rsid w:val="006E158E"/>
    <w:rsid w:val="006E19A5"/>
    <w:rsid w:val="006E4284"/>
    <w:rsid w:val="006E4FF5"/>
    <w:rsid w:val="006E7EE1"/>
    <w:rsid w:val="006F0F68"/>
    <w:rsid w:val="006F478F"/>
    <w:rsid w:val="006F5506"/>
    <w:rsid w:val="006F555E"/>
    <w:rsid w:val="006F6484"/>
    <w:rsid w:val="006F718F"/>
    <w:rsid w:val="006F7A08"/>
    <w:rsid w:val="00704A7A"/>
    <w:rsid w:val="007054F9"/>
    <w:rsid w:val="0070623C"/>
    <w:rsid w:val="007064FB"/>
    <w:rsid w:val="0070700F"/>
    <w:rsid w:val="0071026A"/>
    <w:rsid w:val="007119E0"/>
    <w:rsid w:val="00711BA6"/>
    <w:rsid w:val="007120EC"/>
    <w:rsid w:val="00713638"/>
    <w:rsid w:val="00715CB4"/>
    <w:rsid w:val="00716C15"/>
    <w:rsid w:val="007174F8"/>
    <w:rsid w:val="00717685"/>
    <w:rsid w:val="00717B4C"/>
    <w:rsid w:val="00721A6B"/>
    <w:rsid w:val="00723106"/>
    <w:rsid w:val="00726791"/>
    <w:rsid w:val="00727952"/>
    <w:rsid w:val="0073286F"/>
    <w:rsid w:val="00734F80"/>
    <w:rsid w:val="00736C78"/>
    <w:rsid w:val="00737A53"/>
    <w:rsid w:val="007410D8"/>
    <w:rsid w:val="00741B56"/>
    <w:rsid w:val="0074505B"/>
    <w:rsid w:val="00747031"/>
    <w:rsid w:val="007476F2"/>
    <w:rsid w:val="00750F2D"/>
    <w:rsid w:val="00752815"/>
    <w:rsid w:val="00752BA3"/>
    <w:rsid w:val="00754C2C"/>
    <w:rsid w:val="00755C53"/>
    <w:rsid w:val="007631A6"/>
    <w:rsid w:val="00763ECB"/>
    <w:rsid w:val="00763FC9"/>
    <w:rsid w:val="00764CAE"/>
    <w:rsid w:val="00765076"/>
    <w:rsid w:val="00765AB7"/>
    <w:rsid w:val="0076754C"/>
    <w:rsid w:val="00767897"/>
    <w:rsid w:val="00770299"/>
    <w:rsid w:val="00770869"/>
    <w:rsid w:val="0077206A"/>
    <w:rsid w:val="00772614"/>
    <w:rsid w:val="00772C98"/>
    <w:rsid w:val="00776FF5"/>
    <w:rsid w:val="00782C05"/>
    <w:rsid w:val="00786053"/>
    <w:rsid w:val="007862FA"/>
    <w:rsid w:val="00790C2E"/>
    <w:rsid w:val="00792961"/>
    <w:rsid w:val="00797006"/>
    <w:rsid w:val="00797CBB"/>
    <w:rsid w:val="007A12E8"/>
    <w:rsid w:val="007A1C63"/>
    <w:rsid w:val="007A634C"/>
    <w:rsid w:val="007B21B3"/>
    <w:rsid w:val="007B28DD"/>
    <w:rsid w:val="007B29CB"/>
    <w:rsid w:val="007B3A0F"/>
    <w:rsid w:val="007B74FF"/>
    <w:rsid w:val="007B7838"/>
    <w:rsid w:val="007B7AC5"/>
    <w:rsid w:val="007C0D65"/>
    <w:rsid w:val="007C1281"/>
    <w:rsid w:val="007C268F"/>
    <w:rsid w:val="007C2794"/>
    <w:rsid w:val="007C4868"/>
    <w:rsid w:val="007C4A8C"/>
    <w:rsid w:val="007C4D7F"/>
    <w:rsid w:val="007D026F"/>
    <w:rsid w:val="007D112F"/>
    <w:rsid w:val="007D292D"/>
    <w:rsid w:val="007D2A7D"/>
    <w:rsid w:val="007D4268"/>
    <w:rsid w:val="007D5903"/>
    <w:rsid w:val="007E0DC3"/>
    <w:rsid w:val="007E2E3F"/>
    <w:rsid w:val="007E3285"/>
    <w:rsid w:val="007E5D6F"/>
    <w:rsid w:val="007E6D12"/>
    <w:rsid w:val="008001CF"/>
    <w:rsid w:val="00801C66"/>
    <w:rsid w:val="00801EB0"/>
    <w:rsid w:val="0080291B"/>
    <w:rsid w:val="00806F32"/>
    <w:rsid w:val="008079C4"/>
    <w:rsid w:val="00807D68"/>
    <w:rsid w:val="00810D4B"/>
    <w:rsid w:val="0081208A"/>
    <w:rsid w:val="00812BDE"/>
    <w:rsid w:val="00813773"/>
    <w:rsid w:val="0081389D"/>
    <w:rsid w:val="00814B6F"/>
    <w:rsid w:val="00815009"/>
    <w:rsid w:val="00815112"/>
    <w:rsid w:val="008203CC"/>
    <w:rsid w:val="00820E5A"/>
    <w:rsid w:val="00821F83"/>
    <w:rsid w:val="00822F9C"/>
    <w:rsid w:val="00823150"/>
    <w:rsid w:val="008265D7"/>
    <w:rsid w:val="0083058A"/>
    <w:rsid w:val="00831226"/>
    <w:rsid w:val="00831403"/>
    <w:rsid w:val="00831B3A"/>
    <w:rsid w:val="00832CCE"/>
    <w:rsid w:val="00833F06"/>
    <w:rsid w:val="008350C1"/>
    <w:rsid w:val="0083539C"/>
    <w:rsid w:val="00836CD0"/>
    <w:rsid w:val="00836FAA"/>
    <w:rsid w:val="00843F87"/>
    <w:rsid w:val="00844542"/>
    <w:rsid w:val="0085218E"/>
    <w:rsid w:val="00852AAD"/>
    <w:rsid w:val="00854A73"/>
    <w:rsid w:val="00856CC4"/>
    <w:rsid w:val="00861C2A"/>
    <w:rsid w:val="00862ED5"/>
    <w:rsid w:val="00867627"/>
    <w:rsid w:val="00867DE1"/>
    <w:rsid w:val="008712C4"/>
    <w:rsid w:val="00871AFC"/>
    <w:rsid w:val="0087302D"/>
    <w:rsid w:val="0087315D"/>
    <w:rsid w:val="00874A7E"/>
    <w:rsid w:val="00880A10"/>
    <w:rsid w:val="00882D26"/>
    <w:rsid w:val="00884DC5"/>
    <w:rsid w:val="00884E23"/>
    <w:rsid w:val="00887259"/>
    <w:rsid w:val="008905AD"/>
    <w:rsid w:val="00891E4F"/>
    <w:rsid w:val="00895447"/>
    <w:rsid w:val="008975E0"/>
    <w:rsid w:val="008A2690"/>
    <w:rsid w:val="008A786B"/>
    <w:rsid w:val="008B0AE4"/>
    <w:rsid w:val="008B16CC"/>
    <w:rsid w:val="008B2BDA"/>
    <w:rsid w:val="008B759E"/>
    <w:rsid w:val="008B7D74"/>
    <w:rsid w:val="008C2183"/>
    <w:rsid w:val="008C44E0"/>
    <w:rsid w:val="008C4AFE"/>
    <w:rsid w:val="008C5348"/>
    <w:rsid w:val="008C5E75"/>
    <w:rsid w:val="008C7A58"/>
    <w:rsid w:val="008D1315"/>
    <w:rsid w:val="008D2456"/>
    <w:rsid w:val="008D2542"/>
    <w:rsid w:val="008D2C71"/>
    <w:rsid w:val="008D33DC"/>
    <w:rsid w:val="008D78A9"/>
    <w:rsid w:val="008E253B"/>
    <w:rsid w:val="008E61DD"/>
    <w:rsid w:val="008E6E4A"/>
    <w:rsid w:val="008F2431"/>
    <w:rsid w:val="008F29EE"/>
    <w:rsid w:val="008F2C5B"/>
    <w:rsid w:val="008F551E"/>
    <w:rsid w:val="008F5AAF"/>
    <w:rsid w:val="00901726"/>
    <w:rsid w:val="009017ED"/>
    <w:rsid w:val="00901DCB"/>
    <w:rsid w:val="009050EE"/>
    <w:rsid w:val="00911921"/>
    <w:rsid w:val="00912D71"/>
    <w:rsid w:val="0091331A"/>
    <w:rsid w:val="00914606"/>
    <w:rsid w:val="009169B8"/>
    <w:rsid w:val="00916BCF"/>
    <w:rsid w:val="009229D8"/>
    <w:rsid w:val="00923C80"/>
    <w:rsid w:val="00925007"/>
    <w:rsid w:val="0092613D"/>
    <w:rsid w:val="0093221F"/>
    <w:rsid w:val="00932693"/>
    <w:rsid w:val="00932DEF"/>
    <w:rsid w:val="0093363E"/>
    <w:rsid w:val="00935FBA"/>
    <w:rsid w:val="00936164"/>
    <w:rsid w:val="00936A3D"/>
    <w:rsid w:val="00937B49"/>
    <w:rsid w:val="00942C58"/>
    <w:rsid w:val="00944146"/>
    <w:rsid w:val="00944AA6"/>
    <w:rsid w:val="00944EA0"/>
    <w:rsid w:val="00945A66"/>
    <w:rsid w:val="00945CF6"/>
    <w:rsid w:val="0094712B"/>
    <w:rsid w:val="009510D7"/>
    <w:rsid w:val="00954A4D"/>
    <w:rsid w:val="00960158"/>
    <w:rsid w:val="009626C4"/>
    <w:rsid w:val="00962ADB"/>
    <w:rsid w:val="00964608"/>
    <w:rsid w:val="00965AC5"/>
    <w:rsid w:val="00966C5B"/>
    <w:rsid w:val="0097134A"/>
    <w:rsid w:val="00971891"/>
    <w:rsid w:val="00972DA1"/>
    <w:rsid w:val="00973146"/>
    <w:rsid w:val="00974499"/>
    <w:rsid w:val="009749A4"/>
    <w:rsid w:val="00976069"/>
    <w:rsid w:val="00976BAF"/>
    <w:rsid w:val="00980599"/>
    <w:rsid w:val="0098138F"/>
    <w:rsid w:val="00981B34"/>
    <w:rsid w:val="009835C4"/>
    <w:rsid w:val="00985CD6"/>
    <w:rsid w:val="00986319"/>
    <w:rsid w:val="00990543"/>
    <w:rsid w:val="009941CE"/>
    <w:rsid w:val="00994519"/>
    <w:rsid w:val="009951AD"/>
    <w:rsid w:val="009A327D"/>
    <w:rsid w:val="009A63BB"/>
    <w:rsid w:val="009A6A52"/>
    <w:rsid w:val="009B0DE8"/>
    <w:rsid w:val="009B1DFF"/>
    <w:rsid w:val="009C09A1"/>
    <w:rsid w:val="009C1B55"/>
    <w:rsid w:val="009C22B3"/>
    <w:rsid w:val="009D0008"/>
    <w:rsid w:val="009D2051"/>
    <w:rsid w:val="009D7895"/>
    <w:rsid w:val="009E1C0A"/>
    <w:rsid w:val="009E4D22"/>
    <w:rsid w:val="009E6B5E"/>
    <w:rsid w:val="009E6EF7"/>
    <w:rsid w:val="009E7DB1"/>
    <w:rsid w:val="009F10ED"/>
    <w:rsid w:val="009F2187"/>
    <w:rsid w:val="009F39F1"/>
    <w:rsid w:val="009F78AE"/>
    <w:rsid w:val="00A032FD"/>
    <w:rsid w:val="00A0429C"/>
    <w:rsid w:val="00A0508D"/>
    <w:rsid w:val="00A06ECC"/>
    <w:rsid w:val="00A105DC"/>
    <w:rsid w:val="00A11107"/>
    <w:rsid w:val="00A13187"/>
    <w:rsid w:val="00A142FD"/>
    <w:rsid w:val="00A20E5C"/>
    <w:rsid w:val="00A220FA"/>
    <w:rsid w:val="00A23952"/>
    <w:rsid w:val="00A27BA7"/>
    <w:rsid w:val="00A330F6"/>
    <w:rsid w:val="00A33175"/>
    <w:rsid w:val="00A350BA"/>
    <w:rsid w:val="00A35AF1"/>
    <w:rsid w:val="00A407C4"/>
    <w:rsid w:val="00A42BFA"/>
    <w:rsid w:val="00A43430"/>
    <w:rsid w:val="00A44CD1"/>
    <w:rsid w:val="00A46587"/>
    <w:rsid w:val="00A50ED8"/>
    <w:rsid w:val="00A560ED"/>
    <w:rsid w:val="00A5650A"/>
    <w:rsid w:val="00A56700"/>
    <w:rsid w:val="00A572DB"/>
    <w:rsid w:val="00A5760C"/>
    <w:rsid w:val="00A57C47"/>
    <w:rsid w:val="00A60AB8"/>
    <w:rsid w:val="00A61C19"/>
    <w:rsid w:val="00A62646"/>
    <w:rsid w:val="00A62DC2"/>
    <w:rsid w:val="00A65ADD"/>
    <w:rsid w:val="00A733D4"/>
    <w:rsid w:val="00A752EC"/>
    <w:rsid w:val="00A75FA9"/>
    <w:rsid w:val="00A76604"/>
    <w:rsid w:val="00A768DC"/>
    <w:rsid w:val="00A77526"/>
    <w:rsid w:val="00A77A00"/>
    <w:rsid w:val="00A77AF0"/>
    <w:rsid w:val="00A77B87"/>
    <w:rsid w:val="00A77D19"/>
    <w:rsid w:val="00A77FC7"/>
    <w:rsid w:val="00A8141E"/>
    <w:rsid w:val="00A81A14"/>
    <w:rsid w:val="00A81E46"/>
    <w:rsid w:val="00A82996"/>
    <w:rsid w:val="00A84DE5"/>
    <w:rsid w:val="00A86543"/>
    <w:rsid w:val="00A87BCA"/>
    <w:rsid w:val="00A90550"/>
    <w:rsid w:val="00A90B54"/>
    <w:rsid w:val="00A90D98"/>
    <w:rsid w:val="00A9328A"/>
    <w:rsid w:val="00A93B58"/>
    <w:rsid w:val="00A944B5"/>
    <w:rsid w:val="00A94AC1"/>
    <w:rsid w:val="00A9621B"/>
    <w:rsid w:val="00A97025"/>
    <w:rsid w:val="00AA0CD0"/>
    <w:rsid w:val="00AA0F59"/>
    <w:rsid w:val="00AA2B9D"/>
    <w:rsid w:val="00AA5AE1"/>
    <w:rsid w:val="00AA604A"/>
    <w:rsid w:val="00AA6C0E"/>
    <w:rsid w:val="00AB0719"/>
    <w:rsid w:val="00AB4A89"/>
    <w:rsid w:val="00AB61E3"/>
    <w:rsid w:val="00AB63BC"/>
    <w:rsid w:val="00AB701B"/>
    <w:rsid w:val="00AB74A2"/>
    <w:rsid w:val="00AC4758"/>
    <w:rsid w:val="00AC77B5"/>
    <w:rsid w:val="00AD011F"/>
    <w:rsid w:val="00AD02C7"/>
    <w:rsid w:val="00AD257E"/>
    <w:rsid w:val="00AD2B43"/>
    <w:rsid w:val="00AD3DFA"/>
    <w:rsid w:val="00AD5DA0"/>
    <w:rsid w:val="00AD67F3"/>
    <w:rsid w:val="00AE0379"/>
    <w:rsid w:val="00AE096A"/>
    <w:rsid w:val="00AE0D2D"/>
    <w:rsid w:val="00AE17C3"/>
    <w:rsid w:val="00AE34C0"/>
    <w:rsid w:val="00AE419A"/>
    <w:rsid w:val="00AE46E4"/>
    <w:rsid w:val="00AE7829"/>
    <w:rsid w:val="00AF45A4"/>
    <w:rsid w:val="00AF7547"/>
    <w:rsid w:val="00B002E7"/>
    <w:rsid w:val="00B01754"/>
    <w:rsid w:val="00B019AE"/>
    <w:rsid w:val="00B03E0F"/>
    <w:rsid w:val="00B041C0"/>
    <w:rsid w:val="00B04492"/>
    <w:rsid w:val="00B05FDF"/>
    <w:rsid w:val="00B06034"/>
    <w:rsid w:val="00B1151E"/>
    <w:rsid w:val="00B14FA7"/>
    <w:rsid w:val="00B1695F"/>
    <w:rsid w:val="00B202AA"/>
    <w:rsid w:val="00B22056"/>
    <w:rsid w:val="00B23E31"/>
    <w:rsid w:val="00B245D3"/>
    <w:rsid w:val="00B27F85"/>
    <w:rsid w:val="00B306F1"/>
    <w:rsid w:val="00B312CD"/>
    <w:rsid w:val="00B323AC"/>
    <w:rsid w:val="00B336A8"/>
    <w:rsid w:val="00B3538F"/>
    <w:rsid w:val="00B35FB3"/>
    <w:rsid w:val="00B40A05"/>
    <w:rsid w:val="00B429BF"/>
    <w:rsid w:val="00B446C9"/>
    <w:rsid w:val="00B44F2C"/>
    <w:rsid w:val="00B50509"/>
    <w:rsid w:val="00B5153C"/>
    <w:rsid w:val="00B544A6"/>
    <w:rsid w:val="00B54EEB"/>
    <w:rsid w:val="00B610A9"/>
    <w:rsid w:val="00B61341"/>
    <w:rsid w:val="00B62587"/>
    <w:rsid w:val="00B63B3D"/>
    <w:rsid w:val="00B646DE"/>
    <w:rsid w:val="00B6604A"/>
    <w:rsid w:val="00B6691C"/>
    <w:rsid w:val="00B6718F"/>
    <w:rsid w:val="00B73006"/>
    <w:rsid w:val="00B75AFA"/>
    <w:rsid w:val="00B75E22"/>
    <w:rsid w:val="00B766E9"/>
    <w:rsid w:val="00B77F70"/>
    <w:rsid w:val="00B813D0"/>
    <w:rsid w:val="00B825FB"/>
    <w:rsid w:val="00B834D8"/>
    <w:rsid w:val="00B851BF"/>
    <w:rsid w:val="00B858D7"/>
    <w:rsid w:val="00B86C67"/>
    <w:rsid w:val="00B8714C"/>
    <w:rsid w:val="00B8719D"/>
    <w:rsid w:val="00B90728"/>
    <w:rsid w:val="00B90F51"/>
    <w:rsid w:val="00B93D87"/>
    <w:rsid w:val="00B95588"/>
    <w:rsid w:val="00BA269A"/>
    <w:rsid w:val="00BA2E66"/>
    <w:rsid w:val="00BA33B0"/>
    <w:rsid w:val="00BA3CC5"/>
    <w:rsid w:val="00BA4F93"/>
    <w:rsid w:val="00BA7105"/>
    <w:rsid w:val="00BB1CA4"/>
    <w:rsid w:val="00BB345B"/>
    <w:rsid w:val="00BB5EE9"/>
    <w:rsid w:val="00BB72A5"/>
    <w:rsid w:val="00BC28F6"/>
    <w:rsid w:val="00BC44F4"/>
    <w:rsid w:val="00BC45F1"/>
    <w:rsid w:val="00BC4A5A"/>
    <w:rsid w:val="00BC4CFA"/>
    <w:rsid w:val="00BC4E30"/>
    <w:rsid w:val="00BC5CAC"/>
    <w:rsid w:val="00BD0FC0"/>
    <w:rsid w:val="00BD34B7"/>
    <w:rsid w:val="00BD3E76"/>
    <w:rsid w:val="00BD4CFA"/>
    <w:rsid w:val="00BD5D8F"/>
    <w:rsid w:val="00BD66AA"/>
    <w:rsid w:val="00BD7876"/>
    <w:rsid w:val="00BE07CF"/>
    <w:rsid w:val="00BE2025"/>
    <w:rsid w:val="00BE3F6C"/>
    <w:rsid w:val="00BE4DAA"/>
    <w:rsid w:val="00BE4ECE"/>
    <w:rsid w:val="00BE5AC3"/>
    <w:rsid w:val="00BE725E"/>
    <w:rsid w:val="00BF1903"/>
    <w:rsid w:val="00BF1C23"/>
    <w:rsid w:val="00BF345B"/>
    <w:rsid w:val="00BF79A5"/>
    <w:rsid w:val="00BF79E7"/>
    <w:rsid w:val="00BF7A44"/>
    <w:rsid w:val="00C0221C"/>
    <w:rsid w:val="00C044FE"/>
    <w:rsid w:val="00C07BB5"/>
    <w:rsid w:val="00C07CC3"/>
    <w:rsid w:val="00C101AB"/>
    <w:rsid w:val="00C13806"/>
    <w:rsid w:val="00C14758"/>
    <w:rsid w:val="00C169B0"/>
    <w:rsid w:val="00C17884"/>
    <w:rsid w:val="00C20067"/>
    <w:rsid w:val="00C20B7D"/>
    <w:rsid w:val="00C20CE8"/>
    <w:rsid w:val="00C21BEF"/>
    <w:rsid w:val="00C22198"/>
    <w:rsid w:val="00C2322B"/>
    <w:rsid w:val="00C236B0"/>
    <w:rsid w:val="00C260ED"/>
    <w:rsid w:val="00C26F94"/>
    <w:rsid w:val="00C27A58"/>
    <w:rsid w:val="00C304CF"/>
    <w:rsid w:val="00C324FB"/>
    <w:rsid w:val="00C331EE"/>
    <w:rsid w:val="00C33394"/>
    <w:rsid w:val="00C34584"/>
    <w:rsid w:val="00C359B9"/>
    <w:rsid w:val="00C35E11"/>
    <w:rsid w:val="00C42EF0"/>
    <w:rsid w:val="00C43A23"/>
    <w:rsid w:val="00C46407"/>
    <w:rsid w:val="00C46648"/>
    <w:rsid w:val="00C46C4D"/>
    <w:rsid w:val="00C50F26"/>
    <w:rsid w:val="00C54196"/>
    <w:rsid w:val="00C5696A"/>
    <w:rsid w:val="00C57261"/>
    <w:rsid w:val="00C5744F"/>
    <w:rsid w:val="00C57DFB"/>
    <w:rsid w:val="00C6494A"/>
    <w:rsid w:val="00C64BB6"/>
    <w:rsid w:val="00C66094"/>
    <w:rsid w:val="00C7330C"/>
    <w:rsid w:val="00C73D61"/>
    <w:rsid w:val="00C75551"/>
    <w:rsid w:val="00C76393"/>
    <w:rsid w:val="00C80C33"/>
    <w:rsid w:val="00C8392A"/>
    <w:rsid w:val="00C861CF"/>
    <w:rsid w:val="00C8632F"/>
    <w:rsid w:val="00C912FE"/>
    <w:rsid w:val="00C926D8"/>
    <w:rsid w:val="00C95221"/>
    <w:rsid w:val="00C95DDD"/>
    <w:rsid w:val="00CA10D0"/>
    <w:rsid w:val="00CA11F6"/>
    <w:rsid w:val="00CA1D3A"/>
    <w:rsid w:val="00CA3DF0"/>
    <w:rsid w:val="00CB3EC9"/>
    <w:rsid w:val="00CB4EBF"/>
    <w:rsid w:val="00CB65EE"/>
    <w:rsid w:val="00CC0F53"/>
    <w:rsid w:val="00CC51C6"/>
    <w:rsid w:val="00CC53B2"/>
    <w:rsid w:val="00CC53F8"/>
    <w:rsid w:val="00CC58CD"/>
    <w:rsid w:val="00CD1B57"/>
    <w:rsid w:val="00CD279B"/>
    <w:rsid w:val="00CD5046"/>
    <w:rsid w:val="00CD5863"/>
    <w:rsid w:val="00CD60B3"/>
    <w:rsid w:val="00CD6EEE"/>
    <w:rsid w:val="00CE37C7"/>
    <w:rsid w:val="00CE478D"/>
    <w:rsid w:val="00CE4EC1"/>
    <w:rsid w:val="00CE7F85"/>
    <w:rsid w:val="00CF0493"/>
    <w:rsid w:val="00CF1DFD"/>
    <w:rsid w:val="00CF2378"/>
    <w:rsid w:val="00CF67C2"/>
    <w:rsid w:val="00CF70B2"/>
    <w:rsid w:val="00CF7D31"/>
    <w:rsid w:val="00D01AD6"/>
    <w:rsid w:val="00D032EC"/>
    <w:rsid w:val="00D044B1"/>
    <w:rsid w:val="00D06335"/>
    <w:rsid w:val="00D06660"/>
    <w:rsid w:val="00D079B3"/>
    <w:rsid w:val="00D10162"/>
    <w:rsid w:val="00D1081D"/>
    <w:rsid w:val="00D108B3"/>
    <w:rsid w:val="00D1340C"/>
    <w:rsid w:val="00D13C03"/>
    <w:rsid w:val="00D14538"/>
    <w:rsid w:val="00D147EB"/>
    <w:rsid w:val="00D14BAE"/>
    <w:rsid w:val="00D22B96"/>
    <w:rsid w:val="00D304F9"/>
    <w:rsid w:val="00D310A3"/>
    <w:rsid w:val="00D32756"/>
    <w:rsid w:val="00D329B7"/>
    <w:rsid w:val="00D36BB4"/>
    <w:rsid w:val="00D421EE"/>
    <w:rsid w:val="00D42AE1"/>
    <w:rsid w:val="00D43BBC"/>
    <w:rsid w:val="00D44A39"/>
    <w:rsid w:val="00D45C89"/>
    <w:rsid w:val="00D470D1"/>
    <w:rsid w:val="00D50E03"/>
    <w:rsid w:val="00D57868"/>
    <w:rsid w:val="00D61F4F"/>
    <w:rsid w:val="00D621E9"/>
    <w:rsid w:val="00D63CE1"/>
    <w:rsid w:val="00D63FBD"/>
    <w:rsid w:val="00D64870"/>
    <w:rsid w:val="00D64D56"/>
    <w:rsid w:val="00D6512C"/>
    <w:rsid w:val="00D66A10"/>
    <w:rsid w:val="00D70C56"/>
    <w:rsid w:val="00D7240E"/>
    <w:rsid w:val="00D74131"/>
    <w:rsid w:val="00D742BE"/>
    <w:rsid w:val="00D746B8"/>
    <w:rsid w:val="00D749F7"/>
    <w:rsid w:val="00D74B40"/>
    <w:rsid w:val="00D74EE5"/>
    <w:rsid w:val="00D7535E"/>
    <w:rsid w:val="00D82598"/>
    <w:rsid w:val="00D849BF"/>
    <w:rsid w:val="00D84F6F"/>
    <w:rsid w:val="00D86456"/>
    <w:rsid w:val="00D914EC"/>
    <w:rsid w:val="00D915C4"/>
    <w:rsid w:val="00D97B36"/>
    <w:rsid w:val="00DA087E"/>
    <w:rsid w:val="00DA3A4A"/>
    <w:rsid w:val="00DA5F14"/>
    <w:rsid w:val="00DA71E0"/>
    <w:rsid w:val="00DB0219"/>
    <w:rsid w:val="00DB1261"/>
    <w:rsid w:val="00DB39C6"/>
    <w:rsid w:val="00DB4810"/>
    <w:rsid w:val="00DB51C4"/>
    <w:rsid w:val="00DB6F8D"/>
    <w:rsid w:val="00DC1F5D"/>
    <w:rsid w:val="00DC3F7F"/>
    <w:rsid w:val="00DC4688"/>
    <w:rsid w:val="00DC581F"/>
    <w:rsid w:val="00DC5DE8"/>
    <w:rsid w:val="00DD0399"/>
    <w:rsid w:val="00DD063A"/>
    <w:rsid w:val="00DD0912"/>
    <w:rsid w:val="00DD7E4C"/>
    <w:rsid w:val="00DE0891"/>
    <w:rsid w:val="00DE1543"/>
    <w:rsid w:val="00DE3620"/>
    <w:rsid w:val="00DE372A"/>
    <w:rsid w:val="00DE50F4"/>
    <w:rsid w:val="00DE5867"/>
    <w:rsid w:val="00DE5CE2"/>
    <w:rsid w:val="00DE6E1C"/>
    <w:rsid w:val="00DE6E81"/>
    <w:rsid w:val="00DE76A1"/>
    <w:rsid w:val="00DE7779"/>
    <w:rsid w:val="00DE7C72"/>
    <w:rsid w:val="00DF0EDA"/>
    <w:rsid w:val="00DF0FA9"/>
    <w:rsid w:val="00DF2298"/>
    <w:rsid w:val="00DF4A15"/>
    <w:rsid w:val="00DF4C86"/>
    <w:rsid w:val="00DF5671"/>
    <w:rsid w:val="00DF706A"/>
    <w:rsid w:val="00DF753B"/>
    <w:rsid w:val="00E05FAD"/>
    <w:rsid w:val="00E07508"/>
    <w:rsid w:val="00E20915"/>
    <w:rsid w:val="00E20EB9"/>
    <w:rsid w:val="00E265F9"/>
    <w:rsid w:val="00E321F8"/>
    <w:rsid w:val="00E35430"/>
    <w:rsid w:val="00E36C4B"/>
    <w:rsid w:val="00E36DA8"/>
    <w:rsid w:val="00E37B2C"/>
    <w:rsid w:val="00E40E53"/>
    <w:rsid w:val="00E4357B"/>
    <w:rsid w:val="00E43A2F"/>
    <w:rsid w:val="00E443EC"/>
    <w:rsid w:val="00E44B66"/>
    <w:rsid w:val="00E452A5"/>
    <w:rsid w:val="00E4670F"/>
    <w:rsid w:val="00E47309"/>
    <w:rsid w:val="00E5382E"/>
    <w:rsid w:val="00E556B7"/>
    <w:rsid w:val="00E55DB8"/>
    <w:rsid w:val="00E5636D"/>
    <w:rsid w:val="00E61D38"/>
    <w:rsid w:val="00E638CC"/>
    <w:rsid w:val="00E639C4"/>
    <w:rsid w:val="00E63A1D"/>
    <w:rsid w:val="00E6510F"/>
    <w:rsid w:val="00E6683C"/>
    <w:rsid w:val="00E6762B"/>
    <w:rsid w:val="00E73EB4"/>
    <w:rsid w:val="00E747AA"/>
    <w:rsid w:val="00E74972"/>
    <w:rsid w:val="00E7516A"/>
    <w:rsid w:val="00E76E84"/>
    <w:rsid w:val="00E8366D"/>
    <w:rsid w:val="00E84E4A"/>
    <w:rsid w:val="00E8565A"/>
    <w:rsid w:val="00E87BD1"/>
    <w:rsid w:val="00E90829"/>
    <w:rsid w:val="00E9269E"/>
    <w:rsid w:val="00E93503"/>
    <w:rsid w:val="00E9425D"/>
    <w:rsid w:val="00E94952"/>
    <w:rsid w:val="00E959EA"/>
    <w:rsid w:val="00EA02FA"/>
    <w:rsid w:val="00EA1CAB"/>
    <w:rsid w:val="00EA377F"/>
    <w:rsid w:val="00EA77A2"/>
    <w:rsid w:val="00EA7BDF"/>
    <w:rsid w:val="00EB1EF5"/>
    <w:rsid w:val="00EB3D3E"/>
    <w:rsid w:val="00EC0926"/>
    <w:rsid w:val="00EC1D6B"/>
    <w:rsid w:val="00EC67E6"/>
    <w:rsid w:val="00EC6FF2"/>
    <w:rsid w:val="00ED07ED"/>
    <w:rsid w:val="00ED0D31"/>
    <w:rsid w:val="00ED1322"/>
    <w:rsid w:val="00ED56A8"/>
    <w:rsid w:val="00ED5B93"/>
    <w:rsid w:val="00ED5D94"/>
    <w:rsid w:val="00ED5E24"/>
    <w:rsid w:val="00ED714A"/>
    <w:rsid w:val="00EE4C9D"/>
    <w:rsid w:val="00EE73A9"/>
    <w:rsid w:val="00EE7CC3"/>
    <w:rsid w:val="00EF054F"/>
    <w:rsid w:val="00EF0AD6"/>
    <w:rsid w:val="00EF1ADB"/>
    <w:rsid w:val="00EF3E78"/>
    <w:rsid w:val="00EF4ED5"/>
    <w:rsid w:val="00EF656E"/>
    <w:rsid w:val="00EF69C5"/>
    <w:rsid w:val="00F01B03"/>
    <w:rsid w:val="00F028EC"/>
    <w:rsid w:val="00F03266"/>
    <w:rsid w:val="00F0331D"/>
    <w:rsid w:val="00F07401"/>
    <w:rsid w:val="00F10C48"/>
    <w:rsid w:val="00F112B0"/>
    <w:rsid w:val="00F12C50"/>
    <w:rsid w:val="00F1466A"/>
    <w:rsid w:val="00F14C8E"/>
    <w:rsid w:val="00F15560"/>
    <w:rsid w:val="00F203C2"/>
    <w:rsid w:val="00F221A1"/>
    <w:rsid w:val="00F23E11"/>
    <w:rsid w:val="00F23FEC"/>
    <w:rsid w:val="00F24D63"/>
    <w:rsid w:val="00F256EF"/>
    <w:rsid w:val="00F25FEA"/>
    <w:rsid w:val="00F300EB"/>
    <w:rsid w:val="00F3022D"/>
    <w:rsid w:val="00F30501"/>
    <w:rsid w:val="00F305A6"/>
    <w:rsid w:val="00F311A1"/>
    <w:rsid w:val="00F31F5C"/>
    <w:rsid w:val="00F3296C"/>
    <w:rsid w:val="00F32DD5"/>
    <w:rsid w:val="00F34F8E"/>
    <w:rsid w:val="00F3660E"/>
    <w:rsid w:val="00F40F92"/>
    <w:rsid w:val="00F43C0B"/>
    <w:rsid w:val="00F442A1"/>
    <w:rsid w:val="00F54503"/>
    <w:rsid w:val="00F54DAE"/>
    <w:rsid w:val="00F55682"/>
    <w:rsid w:val="00F56057"/>
    <w:rsid w:val="00F562BD"/>
    <w:rsid w:val="00F5672B"/>
    <w:rsid w:val="00F56FE1"/>
    <w:rsid w:val="00F60823"/>
    <w:rsid w:val="00F60C58"/>
    <w:rsid w:val="00F64F6C"/>
    <w:rsid w:val="00F651E8"/>
    <w:rsid w:val="00F655EE"/>
    <w:rsid w:val="00F71382"/>
    <w:rsid w:val="00F71971"/>
    <w:rsid w:val="00F72C66"/>
    <w:rsid w:val="00F74AAD"/>
    <w:rsid w:val="00F74C2D"/>
    <w:rsid w:val="00F74F98"/>
    <w:rsid w:val="00F7540E"/>
    <w:rsid w:val="00F80ED5"/>
    <w:rsid w:val="00F82367"/>
    <w:rsid w:val="00F83CFF"/>
    <w:rsid w:val="00F84740"/>
    <w:rsid w:val="00F87C6E"/>
    <w:rsid w:val="00F93A75"/>
    <w:rsid w:val="00F93D62"/>
    <w:rsid w:val="00F94F00"/>
    <w:rsid w:val="00F95D42"/>
    <w:rsid w:val="00F96E77"/>
    <w:rsid w:val="00FA440F"/>
    <w:rsid w:val="00FA456F"/>
    <w:rsid w:val="00FA77DF"/>
    <w:rsid w:val="00FB0D44"/>
    <w:rsid w:val="00FB62F1"/>
    <w:rsid w:val="00FC4C69"/>
    <w:rsid w:val="00FC6316"/>
    <w:rsid w:val="00FD1B8D"/>
    <w:rsid w:val="00FD32F3"/>
    <w:rsid w:val="00FD54C7"/>
    <w:rsid w:val="00FD6F37"/>
    <w:rsid w:val="00FE0FBE"/>
    <w:rsid w:val="00FE135B"/>
    <w:rsid w:val="00FE41AC"/>
    <w:rsid w:val="00FE4F95"/>
    <w:rsid w:val="00FE5DEF"/>
    <w:rsid w:val="00FE6562"/>
    <w:rsid w:val="00FF1643"/>
    <w:rsid w:val="00FF27B9"/>
    <w:rsid w:val="00FF4132"/>
    <w:rsid w:val="00FF515F"/>
    <w:rsid w:val="00FF5688"/>
    <w:rsid w:val="00FF5F54"/>
    <w:rsid w:val="00FF7032"/>
    <w:rsid w:val="00FF72BB"/>
    <w:rsid w:val="00FF7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B7EE6-CE05-4D74-A23F-1F6D5E7C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BB6"/>
    <w:pPr>
      <w:spacing w:after="200" w:line="276" w:lineRule="auto"/>
    </w:pPr>
    <w:rPr>
      <w:rFonts w:ascii="Calibri" w:hAnsi="Calibri"/>
      <w:sz w:val="22"/>
      <w:szCs w:val="22"/>
    </w:rPr>
  </w:style>
  <w:style w:type="paragraph" w:styleId="Titolo1">
    <w:name w:val="heading 1"/>
    <w:basedOn w:val="Normale"/>
    <w:next w:val="Normale"/>
    <w:link w:val="Titolo1Carattere"/>
    <w:qFormat/>
    <w:rsid w:val="00C26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64BB6"/>
    <w:pPr>
      <w:overflowPunct w:val="0"/>
      <w:autoSpaceDE w:val="0"/>
      <w:autoSpaceDN w:val="0"/>
      <w:adjustRightInd w:val="0"/>
      <w:spacing w:before="240" w:after="60" w:line="240" w:lineRule="auto"/>
      <w:ind w:left="567" w:hanging="567"/>
      <w:jc w:val="center"/>
      <w:textAlignment w:val="baseline"/>
    </w:pPr>
    <w:rPr>
      <w:rFonts w:ascii="Arial" w:hAnsi="Arial"/>
      <w:b/>
      <w:color w:val="000000"/>
      <w:kern w:val="28"/>
      <w:sz w:val="24"/>
      <w:szCs w:val="20"/>
    </w:rPr>
  </w:style>
  <w:style w:type="character" w:customStyle="1" w:styleId="TitoloCarattere">
    <w:name w:val="Titolo Carattere"/>
    <w:link w:val="Titolo"/>
    <w:locked/>
    <w:rsid w:val="00C64BB6"/>
    <w:rPr>
      <w:rFonts w:ascii="Arial" w:hAnsi="Arial"/>
      <w:b/>
      <w:color w:val="000000"/>
      <w:kern w:val="28"/>
      <w:sz w:val="24"/>
      <w:lang w:val="it-IT" w:eastAsia="it-IT" w:bidi="ar-SA"/>
    </w:rPr>
  </w:style>
  <w:style w:type="paragraph" w:styleId="Corpotesto">
    <w:name w:val="Body Text"/>
    <w:basedOn w:val="Normale"/>
    <w:link w:val="CorpotestoCarattere"/>
    <w:rsid w:val="00C64BB6"/>
    <w:pPr>
      <w:spacing w:after="0" w:line="567" w:lineRule="exact"/>
      <w:jc w:val="both"/>
    </w:pPr>
    <w:rPr>
      <w:rFonts w:ascii="Arial" w:hAnsi="Arial"/>
      <w:sz w:val="24"/>
      <w:szCs w:val="20"/>
    </w:rPr>
  </w:style>
  <w:style w:type="character" w:customStyle="1" w:styleId="CorpotestoCarattere">
    <w:name w:val="Corpo testo Carattere"/>
    <w:link w:val="Corpotesto"/>
    <w:locked/>
    <w:rsid w:val="00C64BB6"/>
    <w:rPr>
      <w:rFonts w:ascii="Arial" w:hAnsi="Arial"/>
      <w:sz w:val="24"/>
      <w:lang w:val="it-IT" w:eastAsia="it-IT" w:bidi="ar-SA"/>
    </w:rPr>
  </w:style>
  <w:style w:type="paragraph" w:styleId="Sottotitolo">
    <w:name w:val="Subtitle"/>
    <w:basedOn w:val="Normale"/>
    <w:link w:val="SottotitoloCarattere"/>
    <w:qFormat/>
    <w:rsid w:val="00C64BB6"/>
    <w:pPr>
      <w:spacing w:after="0" w:line="240" w:lineRule="auto"/>
      <w:jc w:val="center"/>
    </w:pPr>
    <w:rPr>
      <w:rFonts w:ascii="Times New Roman" w:hAnsi="Times New Roman"/>
      <w:b/>
      <w:i/>
      <w:sz w:val="28"/>
      <w:szCs w:val="20"/>
    </w:rPr>
  </w:style>
  <w:style w:type="character" w:customStyle="1" w:styleId="SottotitoloCarattere">
    <w:name w:val="Sottotitolo Carattere"/>
    <w:link w:val="Sottotitolo"/>
    <w:locked/>
    <w:rsid w:val="00C64BB6"/>
    <w:rPr>
      <w:b/>
      <w:i/>
      <w:sz w:val="28"/>
      <w:lang w:val="it-IT" w:eastAsia="it-IT" w:bidi="ar-SA"/>
    </w:rPr>
  </w:style>
  <w:style w:type="paragraph" w:customStyle="1" w:styleId="Corpodeltesto21">
    <w:name w:val="Corpo del testo 21"/>
    <w:basedOn w:val="Normale"/>
    <w:rsid w:val="00C64BB6"/>
    <w:pPr>
      <w:spacing w:after="0" w:line="566" w:lineRule="exact"/>
      <w:ind w:left="142" w:firstLine="567"/>
      <w:jc w:val="both"/>
    </w:pPr>
    <w:rPr>
      <w:rFonts w:ascii="Times New Roman" w:hAnsi="Times New Roman"/>
      <w:sz w:val="24"/>
      <w:szCs w:val="20"/>
    </w:rPr>
  </w:style>
  <w:style w:type="paragraph" w:customStyle="1" w:styleId="Corpodeltesto22">
    <w:name w:val="Corpo del testo 22"/>
    <w:basedOn w:val="Normale"/>
    <w:rsid w:val="00C64BB6"/>
    <w:pPr>
      <w:spacing w:after="0" w:line="566" w:lineRule="exact"/>
      <w:ind w:left="142" w:firstLine="567"/>
      <w:jc w:val="both"/>
    </w:pPr>
    <w:rPr>
      <w:rFonts w:ascii="Times New Roman" w:hAnsi="Times New Roman"/>
      <w:sz w:val="24"/>
      <w:szCs w:val="20"/>
    </w:rPr>
  </w:style>
  <w:style w:type="paragraph" w:styleId="Rientrocorpodeltesto">
    <w:name w:val="Body Text Indent"/>
    <w:basedOn w:val="Normale"/>
    <w:rsid w:val="00D13C03"/>
    <w:pPr>
      <w:spacing w:after="120"/>
      <w:ind w:left="283"/>
    </w:pPr>
  </w:style>
  <w:style w:type="paragraph" w:styleId="Intestazione">
    <w:name w:val="header"/>
    <w:basedOn w:val="Normale"/>
    <w:rsid w:val="006034A1"/>
    <w:pPr>
      <w:tabs>
        <w:tab w:val="center" w:pos="4819"/>
        <w:tab w:val="right" w:pos="9638"/>
      </w:tabs>
    </w:pPr>
  </w:style>
  <w:style w:type="character" w:styleId="Numeropagina">
    <w:name w:val="page number"/>
    <w:basedOn w:val="Carpredefinitoparagrafo"/>
    <w:rsid w:val="006034A1"/>
  </w:style>
  <w:style w:type="paragraph" w:styleId="Pidipagina">
    <w:name w:val="footer"/>
    <w:basedOn w:val="Normale"/>
    <w:rsid w:val="00D84F6F"/>
    <w:pPr>
      <w:tabs>
        <w:tab w:val="center" w:pos="4819"/>
        <w:tab w:val="right" w:pos="9638"/>
      </w:tabs>
    </w:pPr>
  </w:style>
  <w:style w:type="paragraph" w:styleId="Testofumetto">
    <w:name w:val="Balloon Text"/>
    <w:basedOn w:val="Normale"/>
    <w:link w:val="TestofumettoCarattere"/>
    <w:rsid w:val="00547424"/>
    <w:pPr>
      <w:spacing w:after="0" w:line="240" w:lineRule="auto"/>
    </w:pPr>
    <w:rPr>
      <w:rFonts w:ascii="Tahoma" w:hAnsi="Tahoma" w:cs="Tahoma"/>
      <w:sz w:val="16"/>
      <w:szCs w:val="16"/>
    </w:rPr>
  </w:style>
  <w:style w:type="character" w:customStyle="1" w:styleId="TestofumettoCarattere">
    <w:name w:val="Testo fumetto Carattere"/>
    <w:link w:val="Testofumetto"/>
    <w:rsid w:val="00547424"/>
    <w:rPr>
      <w:rFonts w:ascii="Tahoma" w:hAnsi="Tahoma" w:cs="Tahoma"/>
      <w:sz w:val="16"/>
      <w:szCs w:val="16"/>
    </w:rPr>
  </w:style>
  <w:style w:type="paragraph" w:customStyle="1" w:styleId="Testodelibera">
    <w:name w:val="Testo delibera"/>
    <w:basedOn w:val="Normale"/>
    <w:link w:val="TestodeliberaCarattere"/>
    <w:qFormat/>
    <w:rsid w:val="00BD4CFA"/>
    <w:pPr>
      <w:suppressAutoHyphens/>
      <w:autoSpaceDE w:val="0"/>
      <w:spacing w:after="0" w:line="567" w:lineRule="exact"/>
      <w:ind w:firstLine="567"/>
      <w:jc w:val="both"/>
    </w:pPr>
    <w:rPr>
      <w:rFonts w:ascii="Verdana" w:hAnsi="Verdana" w:cs="Verdana"/>
      <w:sz w:val="20"/>
      <w:lang w:eastAsia="ar-SA"/>
    </w:rPr>
  </w:style>
  <w:style w:type="paragraph" w:styleId="Testonotaapidipagina">
    <w:name w:val="footnote text"/>
    <w:basedOn w:val="Normale"/>
    <w:link w:val="TestonotaapidipaginaCarattere"/>
    <w:rsid w:val="00EF3E78"/>
    <w:pPr>
      <w:spacing w:after="0" w:line="240" w:lineRule="auto"/>
    </w:pPr>
    <w:rPr>
      <w:sz w:val="20"/>
      <w:szCs w:val="20"/>
    </w:rPr>
  </w:style>
  <w:style w:type="character" w:customStyle="1" w:styleId="TestodeliberaCarattere">
    <w:name w:val="Testo delibera Carattere"/>
    <w:link w:val="Testodelibera"/>
    <w:rsid w:val="00BD4CFA"/>
    <w:rPr>
      <w:rFonts w:ascii="Verdana" w:hAnsi="Verdana" w:cs="Verdana"/>
      <w:szCs w:val="22"/>
      <w:lang w:eastAsia="ar-SA"/>
    </w:rPr>
  </w:style>
  <w:style w:type="character" w:customStyle="1" w:styleId="TestonotaapidipaginaCarattere">
    <w:name w:val="Testo nota a piè di pagina Carattere"/>
    <w:basedOn w:val="Carpredefinitoparagrafo"/>
    <w:link w:val="Testonotaapidipagina"/>
    <w:rsid w:val="00EF3E78"/>
    <w:rPr>
      <w:rFonts w:ascii="Calibri" w:hAnsi="Calibri"/>
    </w:rPr>
  </w:style>
  <w:style w:type="character" w:styleId="Rimandonotaapidipagina">
    <w:name w:val="footnote reference"/>
    <w:basedOn w:val="Carpredefinitoparagrafo"/>
    <w:rsid w:val="00EF3E78"/>
    <w:rPr>
      <w:vertAlign w:val="superscript"/>
    </w:rPr>
  </w:style>
  <w:style w:type="paragraph" w:customStyle="1" w:styleId="titoloparagrafodelibera">
    <w:name w:val="titolo paragrafo delibera"/>
    <w:basedOn w:val="Normale"/>
    <w:link w:val="titoloparagrafodeliberaCarattere"/>
    <w:qFormat/>
    <w:rsid w:val="0024537D"/>
    <w:pPr>
      <w:numPr>
        <w:numId w:val="19"/>
      </w:numPr>
      <w:spacing w:before="240" w:after="0" w:line="567" w:lineRule="exact"/>
      <w:jc w:val="both"/>
    </w:pPr>
    <w:rPr>
      <w:rFonts w:ascii="Verdana" w:hAnsi="Verdana" w:cs="Arial"/>
      <w:b/>
      <w:sz w:val="20"/>
      <w:szCs w:val="20"/>
    </w:rPr>
  </w:style>
  <w:style w:type="character" w:customStyle="1" w:styleId="Titolo1Carattere">
    <w:name w:val="Titolo 1 Carattere"/>
    <w:basedOn w:val="Carpredefinitoparagrafo"/>
    <w:link w:val="Titolo1"/>
    <w:rsid w:val="00C26F94"/>
    <w:rPr>
      <w:rFonts w:asciiTheme="majorHAnsi" w:eastAsiaTheme="majorEastAsia" w:hAnsiTheme="majorHAnsi" w:cstheme="majorBidi"/>
      <w:b/>
      <w:bCs/>
      <w:color w:val="365F91" w:themeColor="accent1" w:themeShade="BF"/>
      <w:sz w:val="28"/>
      <w:szCs w:val="28"/>
    </w:rPr>
  </w:style>
  <w:style w:type="character" w:customStyle="1" w:styleId="titoloparagrafodeliberaCarattere">
    <w:name w:val="titolo paragrafo delibera Carattere"/>
    <w:basedOn w:val="Carpredefinitoparagrafo"/>
    <w:link w:val="titoloparagrafodelibera"/>
    <w:rsid w:val="0024537D"/>
    <w:rPr>
      <w:rFonts w:ascii="Verdana" w:hAnsi="Verdana" w:cs="Arial"/>
      <w:b/>
    </w:rPr>
  </w:style>
  <w:style w:type="character" w:styleId="Rimandocommento">
    <w:name w:val="annotation reference"/>
    <w:basedOn w:val="Carpredefinitoparagrafo"/>
    <w:rsid w:val="007174F8"/>
    <w:rPr>
      <w:sz w:val="16"/>
      <w:szCs w:val="16"/>
    </w:rPr>
  </w:style>
  <w:style w:type="paragraph" w:styleId="Testocommento">
    <w:name w:val="annotation text"/>
    <w:basedOn w:val="Normale"/>
    <w:link w:val="TestocommentoCarattere"/>
    <w:rsid w:val="007174F8"/>
    <w:pPr>
      <w:spacing w:line="240" w:lineRule="auto"/>
    </w:pPr>
    <w:rPr>
      <w:sz w:val="20"/>
      <w:szCs w:val="20"/>
    </w:rPr>
  </w:style>
  <w:style w:type="character" w:customStyle="1" w:styleId="TestocommentoCarattere">
    <w:name w:val="Testo commento Carattere"/>
    <w:basedOn w:val="Carpredefinitoparagrafo"/>
    <w:link w:val="Testocommento"/>
    <w:rsid w:val="007174F8"/>
    <w:rPr>
      <w:rFonts w:ascii="Calibri" w:hAnsi="Calibri"/>
    </w:rPr>
  </w:style>
  <w:style w:type="paragraph" w:styleId="Soggettocommento">
    <w:name w:val="annotation subject"/>
    <w:basedOn w:val="Testocommento"/>
    <w:next w:val="Testocommento"/>
    <w:link w:val="SoggettocommentoCarattere"/>
    <w:rsid w:val="007174F8"/>
    <w:rPr>
      <w:b/>
      <w:bCs/>
    </w:rPr>
  </w:style>
  <w:style w:type="character" w:customStyle="1" w:styleId="SoggettocommentoCarattere">
    <w:name w:val="Soggetto commento Carattere"/>
    <w:basedOn w:val="TestocommentoCarattere"/>
    <w:link w:val="Soggettocommento"/>
    <w:rsid w:val="007174F8"/>
    <w:rPr>
      <w:rFonts w:ascii="Calibri" w:hAnsi="Calibri"/>
      <w:b/>
      <w:bCs/>
    </w:rPr>
  </w:style>
  <w:style w:type="paragraph" w:styleId="Revisione">
    <w:name w:val="Revision"/>
    <w:hidden/>
    <w:uiPriority w:val="99"/>
    <w:semiHidden/>
    <w:rsid w:val="007174F8"/>
    <w:rPr>
      <w:rFonts w:ascii="Calibri" w:hAnsi="Calibri"/>
      <w:sz w:val="22"/>
      <w:szCs w:val="22"/>
    </w:rPr>
  </w:style>
  <w:style w:type="paragraph" w:styleId="Paragrafoelenco">
    <w:name w:val="List Paragraph"/>
    <w:basedOn w:val="Normale"/>
    <w:uiPriority w:val="34"/>
    <w:qFormat/>
    <w:rsid w:val="005448D1"/>
    <w:pPr>
      <w:ind w:left="720"/>
      <w:contextualSpacing/>
    </w:pPr>
  </w:style>
  <w:style w:type="paragraph" w:customStyle="1" w:styleId="Default">
    <w:name w:val="Default"/>
    <w:rsid w:val="004A0428"/>
    <w:pPr>
      <w:autoSpaceDE w:val="0"/>
      <w:autoSpaceDN w:val="0"/>
      <w:adjustRightInd w:val="0"/>
    </w:pPr>
    <w:rPr>
      <w:rFonts w:ascii="Verdana" w:hAnsi="Verdana" w:cs="Verdana"/>
      <w:color w:val="000000"/>
      <w:sz w:val="24"/>
      <w:szCs w:val="24"/>
    </w:rPr>
  </w:style>
  <w:style w:type="paragraph" w:styleId="NormaleWeb">
    <w:name w:val="Normal (Web)"/>
    <w:basedOn w:val="Normale"/>
    <w:rsid w:val="00E9425D"/>
    <w:pPr>
      <w:autoSpaceDN w:val="0"/>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725">
      <w:bodyDiv w:val="1"/>
      <w:marLeft w:val="0"/>
      <w:marRight w:val="0"/>
      <w:marTop w:val="0"/>
      <w:marBottom w:val="0"/>
      <w:divBdr>
        <w:top w:val="none" w:sz="0" w:space="0" w:color="auto"/>
        <w:left w:val="none" w:sz="0" w:space="0" w:color="auto"/>
        <w:bottom w:val="none" w:sz="0" w:space="0" w:color="auto"/>
        <w:right w:val="none" w:sz="0" w:space="0" w:color="auto"/>
      </w:divBdr>
    </w:div>
    <w:div w:id="89591568">
      <w:bodyDiv w:val="1"/>
      <w:marLeft w:val="0"/>
      <w:marRight w:val="0"/>
      <w:marTop w:val="0"/>
      <w:marBottom w:val="0"/>
      <w:divBdr>
        <w:top w:val="none" w:sz="0" w:space="0" w:color="auto"/>
        <w:left w:val="none" w:sz="0" w:space="0" w:color="auto"/>
        <w:bottom w:val="none" w:sz="0" w:space="0" w:color="auto"/>
        <w:right w:val="none" w:sz="0" w:space="0" w:color="auto"/>
      </w:divBdr>
    </w:div>
    <w:div w:id="299920925">
      <w:bodyDiv w:val="1"/>
      <w:marLeft w:val="0"/>
      <w:marRight w:val="0"/>
      <w:marTop w:val="0"/>
      <w:marBottom w:val="0"/>
      <w:divBdr>
        <w:top w:val="none" w:sz="0" w:space="0" w:color="auto"/>
        <w:left w:val="none" w:sz="0" w:space="0" w:color="auto"/>
        <w:bottom w:val="none" w:sz="0" w:space="0" w:color="auto"/>
        <w:right w:val="none" w:sz="0" w:space="0" w:color="auto"/>
      </w:divBdr>
    </w:div>
    <w:div w:id="382561447">
      <w:bodyDiv w:val="1"/>
      <w:marLeft w:val="0"/>
      <w:marRight w:val="0"/>
      <w:marTop w:val="0"/>
      <w:marBottom w:val="0"/>
      <w:divBdr>
        <w:top w:val="none" w:sz="0" w:space="0" w:color="auto"/>
        <w:left w:val="none" w:sz="0" w:space="0" w:color="auto"/>
        <w:bottom w:val="none" w:sz="0" w:space="0" w:color="auto"/>
        <w:right w:val="none" w:sz="0" w:space="0" w:color="auto"/>
      </w:divBdr>
      <w:divsChild>
        <w:div w:id="828209985">
          <w:marLeft w:val="0"/>
          <w:marRight w:val="0"/>
          <w:marTop w:val="0"/>
          <w:marBottom w:val="0"/>
          <w:divBdr>
            <w:top w:val="none" w:sz="0" w:space="0" w:color="auto"/>
            <w:left w:val="none" w:sz="0" w:space="0" w:color="auto"/>
            <w:bottom w:val="none" w:sz="0" w:space="0" w:color="auto"/>
            <w:right w:val="none" w:sz="0" w:space="0" w:color="auto"/>
          </w:divBdr>
          <w:divsChild>
            <w:div w:id="415517426">
              <w:marLeft w:val="0"/>
              <w:marRight w:val="0"/>
              <w:marTop w:val="0"/>
              <w:marBottom w:val="0"/>
              <w:divBdr>
                <w:top w:val="none" w:sz="0" w:space="0" w:color="auto"/>
                <w:left w:val="none" w:sz="0" w:space="0" w:color="auto"/>
                <w:bottom w:val="none" w:sz="0" w:space="0" w:color="auto"/>
                <w:right w:val="none" w:sz="0" w:space="0" w:color="auto"/>
              </w:divBdr>
              <w:divsChild>
                <w:div w:id="15304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963">
      <w:bodyDiv w:val="1"/>
      <w:marLeft w:val="0"/>
      <w:marRight w:val="0"/>
      <w:marTop w:val="0"/>
      <w:marBottom w:val="0"/>
      <w:divBdr>
        <w:top w:val="none" w:sz="0" w:space="0" w:color="auto"/>
        <w:left w:val="none" w:sz="0" w:space="0" w:color="auto"/>
        <w:bottom w:val="none" w:sz="0" w:space="0" w:color="auto"/>
        <w:right w:val="none" w:sz="0" w:space="0" w:color="auto"/>
      </w:divBdr>
    </w:div>
    <w:div w:id="431626551">
      <w:bodyDiv w:val="1"/>
      <w:marLeft w:val="0"/>
      <w:marRight w:val="0"/>
      <w:marTop w:val="0"/>
      <w:marBottom w:val="0"/>
      <w:divBdr>
        <w:top w:val="none" w:sz="0" w:space="0" w:color="auto"/>
        <w:left w:val="none" w:sz="0" w:space="0" w:color="auto"/>
        <w:bottom w:val="none" w:sz="0" w:space="0" w:color="auto"/>
        <w:right w:val="none" w:sz="0" w:space="0" w:color="auto"/>
      </w:divBdr>
    </w:div>
    <w:div w:id="466361760">
      <w:bodyDiv w:val="1"/>
      <w:marLeft w:val="0"/>
      <w:marRight w:val="0"/>
      <w:marTop w:val="0"/>
      <w:marBottom w:val="0"/>
      <w:divBdr>
        <w:top w:val="none" w:sz="0" w:space="0" w:color="auto"/>
        <w:left w:val="none" w:sz="0" w:space="0" w:color="auto"/>
        <w:bottom w:val="none" w:sz="0" w:space="0" w:color="auto"/>
        <w:right w:val="none" w:sz="0" w:space="0" w:color="auto"/>
      </w:divBdr>
    </w:div>
    <w:div w:id="497040333">
      <w:bodyDiv w:val="1"/>
      <w:marLeft w:val="0"/>
      <w:marRight w:val="0"/>
      <w:marTop w:val="0"/>
      <w:marBottom w:val="0"/>
      <w:divBdr>
        <w:top w:val="none" w:sz="0" w:space="0" w:color="auto"/>
        <w:left w:val="none" w:sz="0" w:space="0" w:color="auto"/>
        <w:bottom w:val="none" w:sz="0" w:space="0" w:color="auto"/>
        <w:right w:val="none" w:sz="0" w:space="0" w:color="auto"/>
      </w:divBdr>
    </w:div>
    <w:div w:id="558514754">
      <w:bodyDiv w:val="1"/>
      <w:marLeft w:val="0"/>
      <w:marRight w:val="0"/>
      <w:marTop w:val="0"/>
      <w:marBottom w:val="0"/>
      <w:divBdr>
        <w:top w:val="none" w:sz="0" w:space="0" w:color="auto"/>
        <w:left w:val="none" w:sz="0" w:space="0" w:color="auto"/>
        <w:bottom w:val="none" w:sz="0" w:space="0" w:color="auto"/>
        <w:right w:val="none" w:sz="0" w:space="0" w:color="auto"/>
      </w:divBdr>
    </w:div>
    <w:div w:id="680663349">
      <w:bodyDiv w:val="1"/>
      <w:marLeft w:val="0"/>
      <w:marRight w:val="0"/>
      <w:marTop w:val="0"/>
      <w:marBottom w:val="0"/>
      <w:divBdr>
        <w:top w:val="none" w:sz="0" w:space="0" w:color="auto"/>
        <w:left w:val="none" w:sz="0" w:space="0" w:color="auto"/>
        <w:bottom w:val="none" w:sz="0" w:space="0" w:color="auto"/>
        <w:right w:val="none" w:sz="0" w:space="0" w:color="auto"/>
      </w:divBdr>
    </w:div>
    <w:div w:id="766773140">
      <w:bodyDiv w:val="1"/>
      <w:marLeft w:val="0"/>
      <w:marRight w:val="0"/>
      <w:marTop w:val="0"/>
      <w:marBottom w:val="0"/>
      <w:divBdr>
        <w:top w:val="none" w:sz="0" w:space="0" w:color="auto"/>
        <w:left w:val="none" w:sz="0" w:space="0" w:color="auto"/>
        <w:bottom w:val="none" w:sz="0" w:space="0" w:color="auto"/>
        <w:right w:val="none" w:sz="0" w:space="0" w:color="auto"/>
      </w:divBdr>
    </w:div>
    <w:div w:id="786965997">
      <w:bodyDiv w:val="1"/>
      <w:marLeft w:val="0"/>
      <w:marRight w:val="0"/>
      <w:marTop w:val="0"/>
      <w:marBottom w:val="0"/>
      <w:divBdr>
        <w:top w:val="none" w:sz="0" w:space="0" w:color="auto"/>
        <w:left w:val="none" w:sz="0" w:space="0" w:color="auto"/>
        <w:bottom w:val="none" w:sz="0" w:space="0" w:color="auto"/>
        <w:right w:val="none" w:sz="0" w:space="0" w:color="auto"/>
      </w:divBdr>
    </w:div>
    <w:div w:id="850753987">
      <w:bodyDiv w:val="1"/>
      <w:marLeft w:val="0"/>
      <w:marRight w:val="0"/>
      <w:marTop w:val="0"/>
      <w:marBottom w:val="0"/>
      <w:divBdr>
        <w:top w:val="none" w:sz="0" w:space="0" w:color="auto"/>
        <w:left w:val="none" w:sz="0" w:space="0" w:color="auto"/>
        <w:bottom w:val="none" w:sz="0" w:space="0" w:color="auto"/>
        <w:right w:val="none" w:sz="0" w:space="0" w:color="auto"/>
      </w:divBdr>
    </w:div>
    <w:div w:id="902913616">
      <w:bodyDiv w:val="1"/>
      <w:marLeft w:val="0"/>
      <w:marRight w:val="0"/>
      <w:marTop w:val="0"/>
      <w:marBottom w:val="0"/>
      <w:divBdr>
        <w:top w:val="none" w:sz="0" w:space="0" w:color="auto"/>
        <w:left w:val="none" w:sz="0" w:space="0" w:color="auto"/>
        <w:bottom w:val="none" w:sz="0" w:space="0" w:color="auto"/>
        <w:right w:val="none" w:sz="0" w:space="0" w:color="auto"/>
      </w:divBdr>
    </w:div>
    <w:div w:id="945425269">
      <w:bodyDiv w:val="1"/>
      <w:marLeft w:val="0"/>
      <w:marRight w:val="0"/>
      <w:marTop w:val="0"/>
      <w:marBottom w:val="0"/>
      <w:divBdr>
        <w:top w:val="none" w:sz="0" w:space="0" w:color="auto"/>
        <w:left w:val="none" w:sz="0" w:space="0" w:color="auto"/>
        <w:bottom w:val="none" w:sz="0" w:space="0" w:color="auto"/>
        <w:right w:val="none" w:sz="0" w:space="0" w:color="auto"/>
      </w:divBdr>
    </w:div>
    <w:div w:id="983461541">
      <w:bodyDiv w:val="1"/>
      <w:marLeft w:val="0"/>
      <w:marRight w:val="0"/>
      <w:marTop w:val="0"/>
      <w:marBottom w:val="0"/>
      <w:divBdr>
        <w:top w:val="none" w:sz="0" w:space="0" w:color="auto"/>
        <w:left w:val="none" w:sz="0" w:space="0" w:color="auto"/>
        <w:bottom w:val="none" w:sz="0" w:space="0" w:color="auto"/>
        <w:right w:val="none" w:sz="0" w:space="0" w:color="auto"/>
      </w:divBdr>
    </w:div>
    <w:div w:id="990795134">
      <w:bodyDiv w:val="1"/>
      <w:marLeft w:val="0"/>
      <w:marRight w:val="0"/>
      <w:marTop w:val="0"/>
      <w:marBottom w:val="0"/>
      <w:divBdr>
        <w:top w:val="none" w:sz="0" w:space="0" w:color="auto"/>
        <w:left w:val="none" w:sz="0" w:space="0" w:color="auto"/>
        <w:bottom w:val="none" w:sz="0" w:space="0" w:color="auto"/>
        <w:right w:val="none" w:sz="0" w:space="0" w:color="auto"/>
      </w:divBdr>
    </w:div>
    <w:div w:id="994577105">
      <w:bodyDiv w:val="1"/>
      <w:marLeft w:val="0"/>
      <w:marRight w:val="0"/>
      <w:marTop w:val="0"/>
      <w:marBottom w:val="0"/>
      <w:divBdr>
        <w:top w:val="none" w:sz="0" w:space="0" w:color="auto"/>
        <w:left w:val="none" w:sz="0" w:space="0" w:color="auto"/>
        <w:bottom w:val="none" w:sz="0" w:space="0" w:color="auto"/>
        <w:right w:val="none" w:sz="0" w:space="0" w:color="auto"/>
      </w:divBdr>
    </w:div>
    <w:div w:id="1040327110">
      <w:bodyDiv w:val="1"/>
      <w:marLeft w:val="0"/>
      <w:marRight w:val="0"/>
      <w:marTop w:val="0"/>
      <w:marBottom w:val="0"/>
      <w:divBdr>
        <w:top w:val="none" w:sz="0" w:space="0" w:color="auto"/>
        <w:left w:val="none" w:sz="0" w:space="0" w:color="auto"/>
        <w:bottom w:val="none" w:sz="0" w:space="0" w:color="auto"/>
        <w:right w:val="none" w:sz="0" w:space="0" w:color="auto"/>
      </w:divBdr>
    </w:div>
    <w:div w:id="1052729585">
      <w:bodyDiv w:val="1"/>
      <w:marLeft w:val="0"/>
      <w:marRight w:val="0"/>
      <w:marTop w:val="0"/>
      <w:marBottom w:val="0"/>
      <w:divBdr>
        <w:top w:val="none" w:sz="0" w:space="0" w:color="auto"/>
        <w:left w:val="none" w:sz="0" w:space="0" w:color="auto"/>
        <w:bottom w:val="none" w:sz="0" w:space="0" w:color="auto"/>
        <w:right w:val="none" w:sz="0" w:space="0" w:color="auto"/>
      </w:divBdr>
    </w:div>
    <w:div w:id="1058893502">
      <w:bodyDiv w:val="1"/>
      <w:marLeft w:val="0"/>
      <w:marRight w:val="0"/>
      <w:marTop w:val="0"/>
      <w:marBottom w:val="0"/>
      <w:divBdr>
        <w:top w:val="none" w:sz="0" w:space="0" w:color="auto"/>
        <w:left w:val="none" w:sz="0" w:space="0" w:color="auto"/>
        <w:bottom w:val="none" w:sz="0" w:space="0" w:color="auto"/>
        <w:right w:val="none" w:sz="0" w:space="0" w:color="auto"/>
      </w:divBdr>
    </w:div>
    <w:div w:id="1095513130">
      <w:bodyDiv w:val="1"/>
      <w:marLeft w:val="0"/>
      <w:marRight w:val="0"/>
      <w:marTop w:val="0"/>
      <w:marBottom w:val="0"/>
      <w:divBdr>
        <w:top w:val="none" w:sz="0" w:space="0" w:color="auto"/>
        <w:left w:val="none" w:sz="0" w:space="0" w:color="auto"/>
        <w:bottom w:val="none" w:sz="0" w:space="0" w:color="auto"/>
        <w:right w:val="none" w:sz="0" w:space="0" w:color="auto"/>
      </w:divBdr>
    </w:div>
    <w:div w:id="1218904578">
      <w:bodyDiv w:val="1"/>
      <w:marLeft w:val="0"/>
      <w:marRight w:val="0"/>
      <w:marTop w:val="0"/>
      <w:marBottom w:val="0"/>
      <w:divBdr>
        <w:top w:val="none" w:sz="0" w:space="0" w:color="auto"/>
        <w:left w:val="none" w:sz="0" w:space="0" w:color="auto"/>
        <w:bottom w:val="none" w:sz="0" w:space="0" w:color="auto"/>
        <w:right w:val="none" w:sz="0" w:space="0" w:color="auto"/>
      </w:divBdr>
    </w:div>
    <w:div w:id="1230269025">
      <w:bodyDiv w:val="1"/>
      <w:marLeft w:val="0"/>
      <w:marRight w:val="0"/>
      <w:marTop w:val="0"/>
      <w:marBottom w:val="0"/>
      <w:divBdr>
        <w:top w:val="none" w:sz="0" w:space="0" w:color="auto"/>
        <w:left w:val="none" w:sz="0" w:space="0" w:color="auto"/>
        <w:bottom w:val="none" w:sz="0" w:space="0" w:color="auto"/>
        <w:right w:val="none" w:sz="0" w:space="0" w:color="auto"/>
      </w:divBdr>
    </w:div>
    <w:div w:id="1238900451">
      <w:bodyDiv w:val="1"/>
      <w:marLeft w:val="0"/>
      <w:marRight w:val="0"/>
      <w:marTop w:val="0"/>
      <w:marBottom w:val="0"/>
      <w:divBdr>
        <w:top w:val="none" w:sz="0" w:space="0" w:color="auto"/>
        <w:left w:val="none" w:sz="0" w:space="0" w:color="auto"/>
        <w:bottom w:val="none" w:sz="0" w:space="0" w:color="auto"/>
        <w:right w:val="none" w:sz="0" w:space="0" w:color="auto"/>
      </w:divBdr>
    </w:div>
    <w:div w:id="1269778160">
      <w:bodyDiv w:val="1"/>
      <w:marLeft w:val="0"/>
      <w:marRight w:val="0"/>
      <w:marTop w:val="0"/>
      <w:marBottom w:val="0"/>
      <w:divBdr>
        <w:top w:val="none" w:sz="0" w:space="0" w:color="auto"/>
        <w:left w:val="none" w:sz="0" w:space="0" w:color="auto"/>
        <w:bottom w:val="none" w:sz="0" w:space="0" w:color="auto"/>
        <w:right w:val="none" w:sz="0" w:space="0" w:color="auto"/>
      </w:divBdr>
    </w:div>
    <w:div w:id="1275601298">
      <w:bodyDiv w:val="1"/>
      <w:marLeft w:val="0"/>
      <w:marRight w:val="0"/>
      <w:marTop w:val="0"/>
      <w:marBottom w:val="0"/>
      <w:divBdr>
        <w:top w:val="none" w:sz="0" w:space="0" w:color="auto"/>
        <w:left w:val="none" w:sz="0" w:space="0" w:color="auto"/>
        <w:bottom w:val="none" w:sz="0" w:space="0" w:color="auto"/>
        <w:right w:val="none" w:sz="0" w:space="0" w:color="auto"/>
      </w:divBdr>
    </w:div>
    <w:div w:id="1277641670">
      <w:bodyDiv w:val="1"/>
      <w:marLeft w:val="0"/>
      <w:marRight w:val="0"/>
      <w:marTop w:val="0"/>
      <w:marBottom w:val="0"/>
      <w:divBdr>
        <w:top w:val="none" w:sz="0" w:space="0" w:color="auto"/>
        <w:left w:val="none" w:sz="0" w:space="0" w:color="auto"/>
        <w:bottom w:val="none" w:sz="0" w:space="0" w:color="auto"/>
        <w:right w:val="none" w:sz="0" w:space="0" w:color="auto"/>
      </w:divBdr>
    </w:div>
    <w:div w:id="1303075654">
      <w:bodyDiv w:val="1"/>
      <w:marLeft w:val="0"/>
      <w:marRight w:val="0"/>
      <w:marTop w:val="0"/>
      <w:marBottom w:val="0"/>
      <w:divBdr>
        <w:top w:val="none" w:sz="0" w:space="0" w:color="auto"/>
        <w:left w:val="none" w:sz="0" w:space="0" w:color="auto"/>
        <w:bottom w:val="none" w:sz="0" w:space="0" w:color="auto"/>
        <w:right w:val="none" w:sz="0" w:space="0" w:color="auto"/>
      </w:divBdr>
    </w:div>
    <w:div w:id="1312559374">
      <w:bodyDiv w:val="1"/>
      <w:marLeft w:val="0"/>
      <w:marRight w:val="0"/>
      <w:marTop w:val="0"/>
      <w:marBottom w:val="0"/>
      <w:divBdr>
        <w:top w:val="none" w:sz="0" w:space="0" w:color="auto"/>
        <w:left w:val="none" w:sz="0" w:space="0" w:color="auto"/>
        <w:bottom w:val="none" w:sz="0" w:space="0" w:color="auto"/>
        <w:right w:val="none" w:sz="0" w:space="0" w:color="auto"/>
      </w:divBdr>
    </w:div>
    <w:div w:id="1436438578">
      <w:bodyDiv w:val="1"/>
      <w:marLeft w:val="0"/>
      <w:marRight w:val="0"/>
      <w:marTop w:val="0"/>
      <w:marBottom w:val="0"/>
      <w:divBdr>
        <w:top w:val="none" w:sz="0" w:space="0" w:color="auto"/>
        <w:left w:val="none" w:sz="0" w:space="0" w:color="auto"/>
        <w:bottom w:val="none" w:sz="0" w:space="0" w:color="auto"/>
        <w:right w:val="none" w:sz="0" w:space="0" w:color="auto"/>
      </w:divBdr>
      <w:divsChild>
        <w:div w:id="466818549">
          <w:marLeft w:val="0"/>
          <w:marRight w:val="0"/>
          <w:marTop w:val="0"/>
          <w:marBottom w:val="0"/>
          <w:divBdr>
            <w:top w:val="none" w:sz="0" w:space="0" w:color="auto"/>
            <w:left w:val="none" w:sz="0" w:space="0" w:color="auto"/>
            <w:bottom w:val="none" w:sz="0" w:space="0" w:color="auto"/>
            <w:right w:val="none" w:sz="0" w:space="0" w:color="auto"/>
          </w:divBdr>
          <w:divsChild>
            <w:div w:id="625502466">
              <w:marLeft w:val="0"/>
              <w:marRight w:val="0"/>
              <w:marTop w:val="0"/>
              <w:marBottom w:val="0"/>
              <w:divBdr>
                <w:top w:val="none" w:sz="0" w:space="0" w:color="auto"/>
                <w:left w:val="none" w:sz="0" w:space="0" w:color="auto"/>
                <w:bottom w:val="none" w:sz="0" w:space="0" w:color="auto"/>
                <w:right w:val="none" w:sz="0" w:space="0" w:color="auto"/>
              </w:divBdr>
              <w:divsChild>
                <w:div w:id="41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1816">
      <w:bodyDiv w:val="1"/>
      <w:marLeft w:val="0"/>
      <w:marRight w:val="0"/>
      <w:marTop w:val="0"/>
      <w:marBottom w:val="0"/>
      <w:divBdr>
        <w:top w:val="none" w:sz="0" w:space="0" w:color="auto"/>
        <w:left w:val="none" w:sz="0" w:space="0" w:color="auto"/>
        <w:bottom w:val="none" w:sz="0" w:space="0" w:color="auto"/>
        <w:right w:val="none" w:sz="0" w:space="0" w:color="auto"/>
      </w:divBdr>
    </w:div>
    <w:div w:id="1446996038">
      <w:bodyDiv w:val="1"/>
      <w:marLeft w:val="0"/>
      <w:marRight w:val="0"/>
      <w:marTop w:val="0"/>
      <w:marBottom w:val="0"/>
      <w:divBdr>
        <w:top w:val="none" w:sz="0" w:space="0" w:color="auto"/>
        <w:left w:val="none" w:sz="0" w:space="0" w:color="auto"/>
        <w:bottom w:val="none" w:sz="0" w:space="0" w:color="auto"/>
        <w:right w:val="none" w:sz="0" w:space="0" w:color="auto"/>
      </w:divBdr>
    </w:div>
    <w:div w:id="1476951611">
      <w:bodyDiv w:val="1"/>
      <w:marLeft w:val="0"/>
      <w:marRight w:val="0"/>
      <w:marTop w:val="0"/>
      <w:marBottom w:val="0"/>
      <w:divBdr>
        <w:top w:val="none" w:sz="0" w:space="0" w:color="auto"/>
        <w:left w:val="none" w:sz="0" w:space="0" w:color="auto"/>
        <w:bottom w:val="none" w:sz="0" w:space="0" w:color="auto"/>
        <w:right w:val="none" w:sz="0" w:space="0" w:color="auto"/>
      </w:divBdr>
    </w:div>
    <w:div w:id="1580825762">
      <w:bodyDiv w:val="1"/>
      <w:marLeft w:val="0"/>
      <w:marRight w:val="0"/>
      <w:marTop w:val="0"/>
      <w:marBottom w:val="0"/>
      <w:divBdr>
        <w:top w:val="none" w:sz="0" w:space="0" w:color="auto"/>
        <w:left w:val="none" w:sz="0" w:space="0" w:color="auto"/>
        <w:bottom w:val="none" w:sz="0" w:space="0" w:color="auto"/>
        <w:right w:val="none" w:sz="0" w:space="0" w:color="auto"/>
      </w:divBdr>
    </w:div>
    <w:div w:id="1616595568">
      <w:bodyDiv w:val="1"/>
      <w:marLeft w:val="0"/>
      <w:marRight w:val="0"/>
      <w:marTop w:val="0"/>
      <w:marBottom w:val="0"/>
      <w:divBdr>
        <w:top w:val="none" w:sz="0" w:space="0" w:color="auto"/>
        <w:left w:val="none" w:sz="0" w:space="0" w:color="auto"/>
        <w:bottom w:val="none" w:sz="0" w:space="0" w:color="auto"/>
        <w:right w:val="none" w:sz="0" w:space="0" w:color="auto"/>
      </w:divBdr>
    </w:div>
    <w:div w:id="1646199261">
      <w:bodyDiv w:val="1"/>
      <w:marLeft w:val="0"/>
      <w:marRight w:val="0"/>
      <w:marTop w:val="0"/>
      <w:marBottom w:val="0"/>
      <w:divBdr>
        <w:top w:val="none" w:sz="0" w:space="0" w:color="auto"/>
        <w:left w:val="none" w:sz="0" w:space="0" w:color="auto"/>
        <w:bottom w:val="none" w:sz="0" w:space="0" w:color="auto"/>
        <w:right w:val="none" w:sz="0" w:space="0" w:color="auto"/>
      </w:divBdr>
    </w:div>
    <w:div w:id="1683817240">
      <w:bodyDiv w:val="1"/>
      <w:marLeft w:val="0"/>
      <w:marRight w:val="0"/>
      <w:marTop w:val="0"/>
      <w:marBottom w:val="0"/>
      <w:divBdr>
        <w:top w:val="none" w:sz="0" w:space="0" w:color="auto"/>
        <w:left w:val="none" w:sz="0" w:space="0" w:color="auto"/>
        <w:bottom w:val="none" w:sz="0" w:space="0" w:color="auto"/>
        <w:right w:val="none" w:sz="0" w:space="0" w:color="auto"/>
      </w:divBdr>
    </w:div>
    <w:div w:id="1698844402">
      <w:bodyDiv w:val="1"/>
      <w:marLeft w:val="0"/>
      <w:marRight w:val="0"/>
      <w:marTop w:val="0"/>
      <w:marBottom w:val="0"/>
      <w:divBdr>
        <w:top w:val="none" w:sz="0" w:space="0" w:color="auto"/>
        <w:left w:val="none" w:sz="0" w:space="0" w:color="auto"/>
        <w:bottom w:val="none" w:sz="0" w:space="0" w:color="auto"/>
        <w:right w:val="none" w:sz="0" w:space="0" w:color="auto"/>
      </w:divBdr>
    </w:div>
    <w:div w:id="1745226401">
      <w:bodyDiv w:val="1"/>
      <w:marLeft w:val="0"/>
      <w:marRight w:val="0"/>
      <w:marTop w:val="0"/>
      <w:marBottom w:val="0"/>
      <w:divBdr>
        <w:top w:val="none" w:sz="0" w:space="0" w:color="auto"/>
        <w:left w:val="none" w:sz="0" w:space="0" w:color="auto"/>
        <w:bottom w:val="none" w:sz="0" w:space="0" w:color="auto"/>
        <w:right w:val="none" w:sz="0" w:space="0" w:color="auto"/>
      </w:divBdr>
    </w:div>
    <w:div w:id="1757558129">
      <w:bodyDiv w:val="1"/>
      <w:marLeft w:val="0"/>
      <w:marRight w:val="0"/>
      <w:marTop w:val="0"/>
      <w:marBottom w:val="0"/>
      <w:divBdr>
        <w:top w:val="none" w:sz="0" w:space="0" w:color="auto"/>
        <w:left w:val="none" w:sz="0" w:space="0" w:color="auto"/>
        <w:bottom w:val="none" w:sz="0" w:space="0" w:color="auto"/>
        <w:right w:val="none" w:sz="0" w:space="0" w:color="auto"/>
      </w:divBdr>
    </w:div>
    <w:div w:id="1772819891">
      <w:bodyDiv w:val="1"/>
      <w:marLeft w:val="0"/>
      <w:marRight w:val="0"/>
      <w:marTop w:val="0"/>
      <w:marBottom w:val="0"/>
      <w:divBdr>
        <w:top w:val="none" w:sz="0" w:space="0" w:color="auto"/>
        <w:left w:val="none" w:sz="0" w:space="0" w:color="auto"/>
        <w:bottom w:val="none" w:sz="0" w:space="0" w:color="auto"/>
        <w:right w:val="none" w:sz="0" w:space="0" w:color="auto"/>
      </w:divBdr>
    </w:div>
    <w:div w:id="1816869443">
      <w:bodyDiv w:val="1"/>
      <w:marLeft w:val="0"/>
      <w:marRight w:val="0"/>
      <w:marTop w:val="0"/>
      <w:marBottom w:val="0"/>
      <w:divBdr>
        <w:top w:val="none" w:sz="0" w:space="0" w:color="auto"/>
        <w:left w:val="none" w:sz="0" w:space="0" w:color="auto"/>
        <w:bottom w:val="none" w:sz="0" w:space="0" w:color="auto"/>
        <w:right w:val="none" w:sz="0" w:space="0" w:color="auto"/>
      </w:divBdr>
      <w:divsChild>
        <w:div w:id="1314918300">
          <w:marLeft w:val="0"/>
          <w:marRight w:val="0"/>
          <w:marTop w:val="0"/>
          <w:marBottom w:val="0"/>
          <w:divBdr>
            <w:top w:val="none" w:sz="0" w:space="0" w:color="auto"/>
            <w:left w:val="none" w:sz="0" w:space="0" w:color="auto"/>
            <w:bottom w:val="none" w:sz="0" w:space="0" w:color="auto"/>
            <w:right w:val="none" w:sz="0" w:space="0" w:color="auto"/>
          </w:divBdr>
          <w:divsChild>
            <w:div w:id="1741321937">
              <w:marLeft w:val="0"/>
              <w:marRight w:val="0"/>
              <w:marTop w:val="0"/>
              <w:marBottom w:val="0"/>
              <w:divBdr>
                <w:top w:val="none" w:sz="0" w:space="0" w:color="auto"/>
                <w:left w:val="none" w:sz="0" w:space="0" w:color="auto"/>
                <w:bottom w:val="none" w:sz="0" w:space="0" w:color="auto"/>
                <w:right w:val="none" w:sz="0" w:space="0" w:color="auto"/>
              </w:divBdr>
              <w:divsChild>
                <w:div w:id="625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616">
      <w:bodyDiv w:val="1"/>
      <w:marLeft w:val="0"/>
      <w:marRight w:val="0"/>
      <w:marTop w:val="0"/>
      <w:marBottom w:val="0"/>
      <w:divBdr>
        <w:top w:val="none" w:sz="0" w:space="0" w:color="auto"/>
        <w:left w:val="none" w:sz="0" w:space="0" w:color="auto"/>
        <w:bottom w:val="none" w:sz="0" w:space="0" w:color="auto"/>
        <w:right w:val="none" w:sz="0" w:space="0" w:color="auto"/>
      </w:divBdr>
    </w:div>
    <w:div w:id="1957711615">
      <w:bodyDiv w:val="1"/>
      <w:marLeft w:val="0"/>
      <w:marRight w:val="0"/>
      <w:marTop w:val="0"/>
      <w:marBottom w:val="0"/>
      <w:divBdr>
        <w:top w:val="none" w:sz="0" w:space="0" w:color="auto"/>
        <w:left w:val="none" w:sz="0" w:space="0" w:color="auto"/>
        <w:bottom w:val="none" w:sz="0" w:space="0" w:color="auto"/>
        <w:right w:val="none" w:sz="0" w:space="0" w:color="auto"/>
      </w:divBdr>
    </w:div>
    <w:div w:id="1981418887">
      <w:bodyDiv w:val="1"/>
      <w:marLeft w:val="0"/>
      <w:marRight w:val="0"/>
      <w:marTop w:val="0"/>
      <w:marBottom w:val="0"/>
      <w:divBdr>
        <w:top w:val="none" w:sz="0" w:space="0" w:color="auto"/>
        <w:left w:val="none" w:sz="0" w:space="0" w:color="auto"/>
        <w:bottom w:val="none" w:sz="0" w:space="0" w:color="auto"/>
        <w:right w:val="none" w:sz="0" w:space="0" w:color="auto"/>
      </w:divBdr>
    </w:div>
    <w:div w:id="2030377459">
      <w:bodyDiv w:val="1"/>
      <w:marLeft w:val="0"/>
      <w:marRight w:val="0"/>
      <w:marTop w:val="0"/>
      <w:marBottom w:val="0"/>
      <w:divBdr>
        <w:top w:val="none" w:sz="0" w:space="0" w:color="auto"/>
        <w:left w:val="none" w:sz="0" w:space="0" w:color="auto"/>
        <w:bottom w:val="none" w:sz="0" w:space="0" w:color="auto"/>
        <w:right w:val="none" w:sz="0" w:space="0" w:color="auto"/>
      </w:divBdr>
    </w:div>
    <w:div w:id="2037656165">
      <w:bodyDiv w:val="1"/>
      <w:marLeft w:val="0"/>
      <w:marRight w:val="0"/>
      <w:marTop w:val="0"/>
      <w:marBottom w:val="0"/>
      <w:divBdr>
        <w:top w:val="none" w:sz="0" w:space="0" w:color="auto"/>
        <w:left w:val="none" w:sz="0" w:space="0" w:color="auto"/>
        <w:bottom w:val="none" w:sz="0" w:space="0" w:color="auto"/>
        <w:right w:val="none" w:sz="0" w:space="0" w:color="auto"/>
      </w:divBdr>
    </w:div>
    <w:div w:id="2081830053">
      <w:bodyDiv w:val="1"/>
      <w:marLeft w:val="0"/>
      <w:marRight w:val="0"/>
      <w:marTop w:val="0"/>
      <w:marBottom w:val="0"/>
      <w:divBdr>
        <w:top w:val="none" w:sz="0" w:space="0" w:color="auto"/>
        <w:left w:val="none" w:sz="0" w:space="0" w:color="auto"/>
        <w:bottom w:val="none" w:sz="0" w:space="0" w:color="auto"/>
        <w:right w:val="none" w:sz="0" w:space="0" w:color="auto"/>
      </w:divBdr>
    </w:div>
    <w:div w:id="2100329588">
      <w:bodyDiv w:val="1"/>
      <w:marLeft w:val="0"/>
      <w:marRight w:val="0"/>
      <w:marTop w:val="0"/>
      <w:marBottom w:val="0"/>
      <w:divBdr>
        <w:top w:val="none" w:sz="0" w:space="0" w:color="auto"/>
        <w:left w:val="none" w:sz="0" w:space="0" w:color="auto"/>
        <w:bottom w:val="none" w:sz="0" w:space="0" w:color="auto"/>
        <w:right w:val="none" w:sz="0" w:space="0" w:color="auto"/>
      </w:divBdr>
    </w:div>
    <w:div w:id="2116975422">
      <w:bodyDiv w:val="1"/>
      <w:marLeft w:val="0"/>
      <w:marRight w:val="0"/>
      <w:marTop w:val="0"/>
      <w:marBottom w:val="0"/>
      <w:divBdr>
        <w:top w:val="none" w:sz="0" w:space="0" w:color="auto"/>
        <w:left w:val="none" w:sz="0" w:space="0" w:color="auto"/>
        <w:bottom w:val="none" w:sz="0" w:space="0" w:color="auto"/>
        <w:right w:val="none" w:sz="0" w:space="0" w:color="auto"/>
      </w:divBdr>
    </w:div>
    <w:div w:id="21188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D065-C21E-4172-B367-782F3994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15722</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Italiana                Del</vt:lpstr>
    </vt:vector>
  </TitlesOfParts>
  <Company>Corte dei conti</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Italiana                Del</dc:title>
  <dc:subject/>
  <dc:creator>Gentile Annarita</dc:creator>
  <cp:keywords/>
  <dc:description/>
  <cp:lastModifiedBy>Colasacco Chiara</cp:lastModifiedBy>
  <cp:revision>2</cp:revision>
  <cp:lastPrinted>2016-12-01T07:50:00Z</cp:lastPrinted>
  <dcterms:created xsi:type="dcterms:W3CDTF">2016-12-05T10:45:00Z</dcterms:created>
  <dcterms:modified xsi:type="dcterms:W3CDTF">2016-12-05T10:45:00Z</dcterms:modified>
</cp:coreProperties>
</file>