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E0F57" w14:textId="3B4977F2" w:rsidR="00A85067" w:rsidRPr="0001097C" w:rsidRDefault="00A85067" w:rsidP="00A85067">
      <w:pPr>
        <w:spacing w:after="0" w:line="360" w:lineRule="auto"/>
        <w:ind w:right="98"/>
        <w:jc w:val="both"/>
        <w:rPr>
          <w:rFonts w:ascii="Bodoni MT" w:eastAsia="Times New Roman" w:hAnsi="Bodoni MT" w:cs="Times New Roman"/>
          <w:sz w:val="24"/>
          <w:szCs w:val="24"/>
          <w:lang w:eastAsia="it-IT"/>
        </w:rPr>
      </w:pPr>
      <w:bookmarkStart w:id="0" w:name="_GoBack"/>
      <w:bookmarkEnd w:id="0"/>
      <w:r>
        <w:rPr>
          <w:rFonts w:ascii="Bodoni MT" w:eastAsia="Times New Roman" w:hAnsi="Bodoni MT" w:cs="Times New Roman"/>
          <w:sz w:val="24"/>
          <w:szCs w:val="24"/>
          <w:lang w:eastAsia="it-IT"/>
        </w:rPr>
        <w:t xml:space="preserve">Del. n. </w:t>
      </w:r>
      <w:r w:rsidR="009B306B">
        <w:rPr>
          <w:rFonts w:ascii="Bodoni MT" w:eastAsia="Times New Roman" w:hAnsi="Bodoni MT" w:cs="Times New Roman"/>
          <w:sz w:val="24"/>
          <w:szCs w:val="24"/>
          <w:lang w:eastAsia="it-IT"/>
        </w:rPr>
        <w:t>59</w:t>
      </w:r>
      <w:r>
        <w:rPr>
          <w:rFonts w:ascii="Bodoni MT" w:eastAsia="Times New Roman" w:hAnsi="Bodoni MT" w:cs="Times New Roman"/>
          <w:sz w:val="24"/>
          <w:szCs w:val="24"/>
          <w:lang w:eastAsia="it-IT"/>
        </w:rPr>
        <w:t>/201</w:t>
      </w:r>
      <w:r w:rsidR="007B747A">
        <w:rPr>
          <w:rFonts w:ascii="Bodoni MT" w:eastAsia="Times New Roman" w:hAnsi="Bodoni MT" w:cs="Times New Roman"/>
          <w:sz w:val="24"/>
          <w:szCs w:val="24"/>
          <w:lang w:eastAsia="it-IT"/>
        </w:rPr>
        <w:t>7</w:t>
      </w:r>
      <w:r w:rsidRPr="0001097C">
        <w:rPr>
          <w:rFonts w:ascii="Bodoni MT" w:eastAsia="Times New Roman" w:hAnsi="Bodoni MT" w:cs="Times New Roman"/>
          <w:sz w:val="24"/>
          <w:szCs w:val="24"/>
          <w:lang w:eastAsia="it-IT"/>
        </w:rPr>
        <w:t>/PAR</w:t>
      </w:r>
    </w:p>
    <w:p w14:paraId="1DEF3088" w14:textId="77777777" w:rsidR="00A85067" w:rsidRPr="0001097C" w:rsidRDefault="00A85067" w:rsidP="00A85067">
      <w:pPr>
        <w:spacing w:after="0" w:line="360" w:lineRule="auto"/>
        <w:ind w:left="180" w:right="98" w:firstLine="540"/>
        <w:jc w:val="center"/>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object w:dxaOrig="2625" w:dyaOrig="1455" w14:anchorId="18E94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73pt" o:ole="">
            <v:imagedata r:id="rId7" o:title=""/>
          </v:shape>
          <o:OLEObject Type="Embed" ProgID="Word.Picture.8" ShapeID="_x0000_i1025" DrawAspect="Content" ObjectID="_1548672236" r:id="rId8"/>
        </w:object>
      </w:r>
    </w:p>
    <w:p w14:paraId="7C25A685" w14:textId="77777777" w:rsidR="00A85067" w:rsidRPr="0001097C" w:rsidRDefault="00A85067" w:rsidP="00A85067">
      <w:pPr>
        <w:spacing w:after="0" w:line="360" w:lineRule="auto"/>
        <w:ind w:left="2293" w:right="96" w:firstLine="539"/>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Sezione Regionale di Controllo per la Toscana</w:t>
      </w:r>
    </w:p>
    <w:p w14:paraId="4B7249B5" w14:textId="77777777" w:rsidR="00A85067" w:rsidRPr="0001097C" w:rsidRDefault="00A85067" w:rsidP="00A85067">
      <w:pPr>
        <w:spacing w:after="0" w:line="360" w:lineRule="auto"/>
        <w:ind w:left="3000" w:right="96" w:hanging="2291"/>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composta dai magistrati:</w:t>
      </w:r>
    </w:p>
    <w:p w14:paraId="79DAEEEC" w14:textId="77777777" w:rsidR="00A85067" w:rsidRPr="0001097C" w:rsidRDefault="00A85067" w:rsidP="00A85067">
      <w:pPr>
        <w:spacing w:after="0" w:line="360" w:lineRule="auto"/>
        <w:ind w:left="720" w:right="9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Roberto TABBITA</w:t>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t>presidente</w:t>
      </w:r>
    </w:p>
    <w:p w14:paraId="5F0CDFEC" w14:textId="77777777" w:rsidR="00A85067" w:rsidRDefault="00A85067" w:rsidP="00A85067">
      <w:pPr>
        <w:spacing w:after="0" w:line="360" w:lineRule="auto"/>
        <w:ind w:left="720" w:right="9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Paolo PELUFFO</w:t>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t>consigliere</w:t>
      </w:r>
      <w:r>
        <w:rPr>
          <w:rFonts w:ascii="Bodoni MT" w:eastAsia="Times New Roman" w:hAnsi="Bodoni MT" w:cs="Times New Roman"/>
          <w:sz w:val="24"/>
          <w:szCs w:val="24"/>
          <w:lang w:eastAsia="it-IT"/>
        </w:rPr>
        <w:t xml:space="preserve"> </w:t>
      </w:r>
    </w:p>
    <w:p w14:paraId="0BF75B3F" w14:textId="77777777" w:rsidR="00A85067" w:rsidRDefault="00A85067" w:rsidP="00A85067">
      <w:pPr>
        <w:tabs>
          <w:tab w:val="left" w:pos="5775"/>
        </w:tabs>
        <w:spacing w:after="0" w:line="360" w:lineRule="auto"/>
        <w:ind w:left="720" w:right="98"/>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Nicola BONTEMPO                                                 </w:t>
      </w:r>
      <w:r w:rsidRPr="00C64A2D">
        <w:rPr>
          <w:rFonts w:ascii="Bodoni MT" w:eastAsia="Times New Roman" w:hAnsi="Bodoni MT" w:cs="Times New Roman"/>
          <w:sz w:val="24"/>
          <w:szCs w:val="24"/>
          <w:lang w:eastAsia="it-IT"/>
        </w:rPr>
        <w:t>consigliere</w:t>
      </w:r>
    </w:p>
    <w:p w14:paraId="2B7432B1" w14:textId="77777777" w:rsidR="00A85067" w:rsidRPr="0001097C" w:rsidRDefault="00A85067" w:rsidP="00A85067">
      <w:pPr>
        <w:spacing w:after="0" w:line="360" w:lineRule="auto"/>
        <w:ind w:left="720" w:right="9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Laura D’AMBROSIO</w:t>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t>consigliere</w:t>
      </w:r>
    </w:p>
    <w:p w14:paraId="23C9699F" w14:textId="77777777" w:rsidR="00A85067" w:rsidRDefault="00A85067" w:rsidP="00A85067">
      <w:pPr>
        <w:spacing w:after="0" w:line="360" w:lineRule="auto"/>
        <w:ind w:left="720" w:right="9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Ma</w:t>
      </w:r>
      <w:r>
        <w:rPr>
          <w:rFonts w:ascii="Bodoni MT" w:eastAsia="Times New Roman" w:hAnsi="Bodoni MT" w:cs="Times New Roman"/>
          <w:sz w:val="24"/>
          <w:szCs w:val="24"/>
          <w:lang w:eastAsia="it-IT"/>
        </w:rPr>
        <w:t>rco BONCOMPAGNI</w:t>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t>consigliere</w:t>
      </w:r>
    </w:p>
    <w:p w14:paraId="00E5D0E2" w14:textId="77777777" w:rsidR="00A85067" w:rsidRPr="0001097C" w:rsidRDefault="00A85067" w:rsidP="00A85067">
      <w:pPr>
        <w:tabs>
          <w:tab w:val="left" w:pos="5730"/>
        </w:tabs>
        <w:spacing w:after="0" w:line="360" w:lineRule="auto"/>
        <w:ind w:left="720" w:right="98"/>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Mauro NORI                                                             </w:t>
      </w:r>
      <w:r w:rsidRPr="00C64A2D">
        <w:rPr>
          <w:rFonts w:ascii="Bodoni MT" w:eastAsia="Times New Roman" w:hAnsi="Bodoni MT" w:cs="Times New Roman"/>
          <w:sz w:val="24"/>
          <w:szCs w:val="24"/>
          <w:lang w:eastAsia="it-IT"/>
        </w:rPr>
        <w:t>consigliere</w:t>
      </w:r>
      <w:r w:rsidR="00B92280">
        <w:rPr>
          <w:rFonts w:ascii="Bodoni MT" w:eastAsia="Times New Roman" w:hAnsi="Bodoni MT" w:cs="Times New Roman"/>
          <w:sz w:val="24"/>
          <w:szCs w:val="24"/>
          <w:lang w:eastAsia="it-IT"/>
        </w:rPr>
        <w:t>, relatore</w:t>
      </w:r>
    </w:p>
    <w:p w14:paraId="0B8B1298" w14:textId="202CB63E" w:rsidR="00A85067" w:rsidRPr="0001097C" w:rsidRDefault="00A85067" w:rsidP="00A85067">
      <w:pPr>
        <w:spacing w:before="120" w:after="12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lastRenderedPageBreak/>
        <w:t xml:space="preserve">nell’adunanza del </w:t>
      </w:r>
      <w:r w:rsidR="007B747A">
        <w:rPr>
          <w:rFonts w:ascii="Bodoni MT" w:eastAsia="Times New Roman" w:hAnsi="Bodoni MT" w:cs="Times New Roman"/>
          <w:sz w:val="24"/>
          <w:szCs w:val="24"/>
          <w:lang w:eastAsia="it-IT"/>
        </w:rPr>
        <w:t>15 febbraio 2017</w:t>
      </w:r>
      <w:r>
        <w:rPr>
          <w:rFonts w:ascii="Bodoni MT" w:eastAsia="Times New Roman" w:hAnsi="Bodoni MT" w:cs="Times New Roman"/>
          <w:sz w:val="24"/>
          <w:szCs w:val="24"/>
          <w:lang w:eastAsia="it-IT"/>
        </w:rPr>
        <w:t>,</w:t>
      </w:r>
    </w:p>
    <w:p w14:paraId="7155164D" w14:textId="77777777" w:rsidR="00A85067" w:rsidRPr="0001097C" w:rsidRDefault="00A85067" w:rsidP="00A85067">
      <w:pPr>
        <w:spacing w:after="0" w:line="360" w:lineRule="auto"/>
        <w:ind w:firstLine="70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VISTO l’art. 100, comma 2, della Costituzione;</w:t>
      </w:r>
    </w:p>
    <w:p w14:paraId="68457F72" w14:textId="77777777" w:rsidR="00A85067" w:rsidRPr="0001097C" w:rsidRDefault="00A85067" w:rsidP="00A85067">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VISTO il testo unico delle leggi sulla Corte dei conti, approvato con r.d. </w:t>
      </w:r>
      <w:smartTag w:uri="urn:schemas-microsoft-com:office:smarttags" w:element="date">
        <w:smartTagPr>
          <w:attr w:name="Year" w:val="19"/>
          <w:attr w:name="Day" w:val="12"/>
          <w:attr w:name="Month" w:val="7"/>
          <w:attr w:name="ls" w:val="trans"/>
        </w:smartTagPr>
        <w:r w:rsidRPr="0001097C">
          <w:rPr>
            <w:rFonts w:ascii="Bodoni MT" w:eastAsia="Times New Roman" w:hAnsi="Bodoni MT" w:cs="Times New Roman"/>
            <w:sz w:val="24"/>
            <w:szCs w:val="24"/>
            <w:lang w:eastAsia="it-IT"/>
          </w:rPr>
          <w:t>12 luglio 19</w:t>
        </w:r>
      </w:smartTag>
      <w:r w:rsidRPr="0001097C">
        <w:rPr>
          <w:rFonts w:ascii="Bodoni MT" w:eastAsia="Times New Roman" w:hAnsi="Bodoni MT" w:cs="Times New Roman"/>
          <w:sz w:val="24"/>
          <w:szCs w:val="24"/>
          <w:lang w:eastAsia="it-IT"/>
        </w:rPr>
        <w:t>34, n. 1214, e successive modificazioni;</w:t>
      </w:r>
    </w:p>
    <w:p w14:paraId="4D371733" w14:textId="77777777" w:rsidR="00A85067" w:rsidRPr="0001097C" w:rsidRDefault="00A85067" w:rsidP="00A85067">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VISTA la legge </w:t>
      </w:r>
      <w:smartTag w:uri="urn:schemas-microsoft-com:office:smarttags" w:element="date">
        <w:smartTagPr>
          <w:attr w:name="Year" w:val="1994"/>
          <w:attr w:name="Day" w:val="14"/>
          <w:attr w:name="Month" w:val="1"/>
          <w:attr w:name="ls" w:val="trans"/>
        </w:smartTagPr>
        <w:r w:rsidRPr="0001097C">
          <w:rPr>
            <w:rFonts w:ascii="Bodoni MT" w:eastAsia="Times New Roman" w:hAnsi="Bodoni MT" w:cs="Times New Roman"/>
            <w:sz w:val="24"/>
            <w:szCs w:val="24"/>
            <w:lang w:eastAsia="it-IT"/>
          </w:rPr>
          <w:t>14 gennaio 1994</w:t>
        </w:r>
      </w:smartTag>
      <w:r w:rsidRPr="0001097C">
        <w:rPr>
          <w:rFonts w:ascii="Bodoni MT" w:eastAsia="Times New Roman" w:hAnsi="Bodoni MT" w:cs="Times New Roman"/>
          <w:sz w:val="24"/>
          <w:szCs w:val="24"/>
          <w:lang w:eastAsia="it-IT"/>
        </w:rPr>
        <w:t xml:space="preserve">, n. 20, recante disposizioni in materia di giurisdizione e controllo della Corte dei Conti, e successive modificazioni; </w:t>
      </w:r>
    </w:p>
    <w:p w14:paraId="5581D0C0" w14:textId="77777777" w:rsidR="00A85067" w:rsidRPr="0001097C" w:rsidRDefault="00A85067" w:rsidP="00A85067">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VISTA la legge </w:t>
      </w:r>
      <w:smartTag w:uri="urn:schemas-microsoft-com:office:smarttags" w:element="date">
        <w:smartTagPr>
          <w:attr w:name="Year" w:val="2003"/>
          <w:attr w:name="Day" w:val="5"/>
          <w:attr w:name="Month" w:val="6"/>
          <w:attr w:name="ls" w:val="trans"/>
        </w:smartTagPr>
        <w:r w:rsidRPr="0001097C">
          <w:rPr>
            <w:rFonts w:ascii="Bodoni MT" w:eastAsia="Times New Roman" w:hAnsi="Bodoni MT" w:cs="Times New Roman"/>
            <w:sz w:val="24"/>
            <w:szCs w:val="24"/>
            <w:lang w:eastAsia="it-IT"/>
          </w:rPr>
          <w:t>5 giugno 2003</w:t>
        </w:r>
      </w:smartTag>
      <w:r w:rsidRPr="0001097C">
        <w:rPr>
          <w:rFonts w:ascii="Bodoni MT" w:eastAsia="Times New Roman" w:hAnsi="Bodoni MT" w:cs="Times New Roman"/>
          <w:sz w:val="24"/>
          <w:szCs w:val="24"/>
          <w:lang w:eastAsia="it-IT"/>
        </w:rPr>
        <w:t xml:space="preserve"> n. 131, recante disposizioni per l’adeguamento dell’ordinamento della Repubblica alla legge costituzionale </w:t>
      </w:r>
      <w:smartTag w:uri="urn:schemas-microsoft-com:office:smarttags" w:element="date">
        <w:smartTagPr>
          <w:attr w:name="Year" w:val="2001"/>
          <w:attr w:name="Day" w:val="18"/>
          <w:attr w:name="Month" w:val="10"/>
          <w:attr w:name="ls" w:val="trans"/>
        </w:smartTagPr>
        <w:r w:rsidRPr="0001097C">
          <w:rPr>
            <w:rFonts w:ascii="Bodoni MT" w:eastAsia="Times New Roman" w:hAnsi="Bodoni MT" w:cs="Times New Roman"/>
            <w:sz w:val="24"/>
            <w:szCs w:val="24"/>
            <w:lang w:eastAsia="it-IT"/>
          </w:rPr>
          <w:t>18 ottobre 2001</w:t>
        </w:r>
      </w:smartTag>
      <w:r w:rsidRPr="0001097C">
        <w:rPr>
          <w:rFonts w:ascii="Bodoni MT" w:eastAsia="Times New Roman" w:hAnsi="Bodoni MT" w:cs="Times New Roman"/>
          <w:sz w:val="24"/>
          <w:szCs w:val="24"/>
          <w:lang w:eastAsia="it-IT"/>
        </w:rPr>
        <w:t>, n. 3;</w:t>
      </w:r>
    </w:p>
    <w:p w14:paraId="70322BB1" w14:textId="77777777" w:rsidR="00A85067" w:rsidRPr="0001097C" w:rsidRDefault="00A85067" w:rsidP="00A85067">
      <w:pPr>
        <w:spacing w:after="0" w:line="360" w:lineRule="auto"/>
        <w:ind w:firstLine="70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VISTO il regolamento (14/2000) per l’organizzazione delle funzioni di controllo della Corte dei conti, deliberato dalle Sezioni Riunite della Corte dei conti in data </w:t>
      </w:r>
      <w:smartTag w:uri="urn:schemas-microsoft-com:office:smarttags" w:element="date">
        <w:smartTagPr>
          <w:attr w:name="Year" w:val="2000"/>
          <w:attr w:name="Day" w:val="16"/>
          <w:attr w:name="Month" w:val="6"/>
          <w:attr w:name="ls" w:val="trans"/>
        </w:smartTagPr>
        <w:r w:rsidRPr="0001097C">
          <w:rPr>
            <w:rFonts w:ascii="Bodoni MT" w:eastAsia="Times New Roman" w:hAnsi="Bodoni MT" w:cs="Times New Roman"/>
            <w:sz w:val="24"/>
            <w:szCs w:val="24"/>
            <w:lang w:eastAsia="it-IT"/>
          </w:rPr>
          <w:t>16 giugno 2000</w:t>
        </w:r>
      </w:smartTag>
      <w:r w:rsidRPr="0001097C">
        <w:rPr>
          <w:rFonts w:ascii="Bodoni MT" w:eastAsia="Times New Roman" w:hAnsi="Bodoni MT" w:cs="Times New Roman"/>
          <w:sz w:val="24"/>
          <w:szCs w:val="24"/>
          <w:lang w:eastAsia="it-IT"/>
        </w:rPr>
        <w:t xml:space="preserve"> e successive modifiche; </w:t>
      </w:r>
    </w:p>
    <w:p w14:paraId="4FC30C40" w14:textId="77777777" w:rsidR="00A85067" w:rsidRPr="0001097C" w:rsidRDefault="00A85067" w:rsidP="00A85067">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lastRenderedPageBreak/>
        <w:t xml:space="preserve">VISTA la convenzione stipulata il </w:t>
      </w:r>
      <w:smartTag w:uri="urn:schemas-microsoft-com:office:smarttags" w:element="date">
        <w:smartTagPr>
          <w:attr w:name="Year" w:val="2006"/>
          <w:attr w:name="Day" w:val="16"/>
          <w:attr w:name="Month" w:val="6"/>
          <w:attr w:name="ls" w:val="trans"/>
        </w:smartTagPr>
        <w:r w:rsidRPr="0001097C">
          <w:rPr>
            <w:rFonts w:ascii="Bodoni MT" w:eastAsia="Times New Roman" w:hAnsi="Bodoni MT" w:cs="Times New Roman"/>
            <w:sz w:val="24"/>
            <w:szCs w:val="24"/>
            <w:lang w:eastAsia="it-IT"/>
          </w:rPr>
          <w:t>16 giugno 2006</w:t>
        </w:r>
      </w:smartTag>
      <w:r w:rsidRPr="0001097C">
        <w:rPr>
          <w:rFonts w:ascii="Bodoni MT" w:eastAsia="Times New Roman" w:hAnsi="Bodoni MT" w:cs="Times New Roman"/>
          <w:sz w:val="24"/>
          <w:szCs w:val="24"/>
          <w:lang w:eastAsia="it-IT"/>
        </w:rPr>
        <w:t xml:space="preserve"> tra Sezione regionale, Consiglio delle autonomie locali e Giunta regionale Toscana in materia di “ulteriori forme di collaborazione” tra Corte ed autonomie, ai sensi dell’art. 7, comma 8, della citata legge n. 131 del 2003;</w:t>
      </w:r>
    </w:p>
    <w:p w14:paraId="08B9E346" w14:textId="77777777" w:rsidR="00A85067" w:rsidRPr="0001097C" w:rsidRDefault="00A85067" w:rsidP="00A85067">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UDITO il relatore, Cons. </w:t>
      </w:r>
      <w:r w:rsidR="007E2DC6">
        <w:rPr>
          <w:rFonts w:ascii="Bodoni MT" w:eastAsia="Times New Roman" w:hAnsi="Bodoni MT" w:cs="Times New Roman"/>
          <w:sz w:val="24"/>
          <w:szCs w:val="24"/>
          <w:lang w:eastAsia="it-IT"/>
        </w:rPr>
        <w:t>Mauro Nori</w:t>
      </w:r>
      <w:r w:rsidRPr="0001097C">
        <w:rPr>
          <w:rFonts w:ascii="Bodoni MT" w:eastAsia="Times New Roman" w:hAnsi="Bodoni MT" w:cs="Times New Roman"/>
          <w:sz w:val="24"/>
          <w:szCs w:val="24"/>
          <w:lang w:eastAsia="it-IT"/>
        </w:rPr>
        <w:t>;</w:t>
      </w:r>
    </w:p>
    <w:p w14:paraId="5E5096BF" w14:textId="77777777" w:rsidR="00A85067" w:rsidRDefault="00A85067" w:rsidP="00A85067">
      <w:pPr>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br w:type="page"/>
      </w:r>
    </w:p>
    <w:p w14:paraId="54B3FE91" w14:textId="77777777" w:rsidR="00A85067" w:rsidRDefault="00A85067" w:rsidP="00A85067">
      <w:pPr>
        <w:spacing w:before="240" w:after="240" w:line="360" w:lineRule="auto"/>
        <w:jc w:val="center"/>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lastRenderedPageBreak/>
        <w:t>FATTO</w:t>
      </w:r>
    </w:p>
    <w:p w14:paraId="1839F112" w14:textId="77777777" w:rsidR="00813484" w:rsidRDefault="006979B8" w:rsidP="00813484">
      <w:pPr>
        <w:spacing w:after="0" w:line="360" w:lineRule="auto"/>
        <w:ind w:firstLine="851"/>
        <w:contextualSpacing/>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Con nota </w:t>
      </w:r>
      <w:r w:rsidR="007E2DC6">
        <w:rPr>
          <w:rFonts w:ascii="Bodoni MT" w:eastAsia="Times New Roman" w:hAnsi="Bodoni MT" w:cs="Times New Roman"/>
          <w:sz w:val="24"/>
          <w:szCs w:val="24"/>
          <w:lang w:eastAsia="it-IT"/>
        </w:rPr>
        <w:t>del 30 novembre 2016, prot. 2863, inoltrata a mezzo posta certificata,</w:t>
      </w:r>
      <w:r>
        <w:rPr>
          <w:rFonts w:ascii="Bodoni MT" w:eastAsia="Times New Roman" w:hAnsi="Bodoni MT" w:cs="Times New Roman"/>
          <w:sz w:val="24"/>
          <w:szCs w:val="24"/>
          <w:lang w:eastAsia="it-IT"/>
        </w:rPr>
        <w:t xml:space="preserve"> il Consiglio delle Autonomie Locali inoltrava alla Sezione richiesta di parere a</w:t>
      </w:r>
      <w:r w:rsidR="007E2DC6">
        <w:rPr>
          <w:rFonts w:ascii="Bodoni MT" w:eastAsia="Times New Roman" w:hAnsi="Bodoni MT" w:cs="Times New Roman"/>
          <w:sz w:val="24"/>
          <w:szCs w:val="24"/>
          <w:lang w:eastAsia="it-IT"/>
        </w:rPr>
        <w:t>vanzata dal comune di Larciano</w:t>
      </w:r>
      <w:r>
        <w:rPr>
          <w:rFonts w:ascii="Bodoni MT" w:eastAsia="Times New Roman" w:hAnsi="Bodoni MT" w:cs="Times New Roman"/>
          <w:sz w:val="24"/>
          <w:szCs w:val="24"/>
          <w:lang w:eastAsia="it-IT"/>
        </w:rPr>
        <w:t xml:space="preserve">, avente ad oggetto l’interpretazione dell’art. 1 comma 236 della l. 208 del 28 dicembre 2015. </w:t>
      </w:r>
    </w:p>
    <w:p w14:paraId="01E204B4" w14:textId="77777777" w:rsidR="007E2DC6" w:rsidRDefault="006979B8" w:rsidP="00813484">
      <w:pPr>
        <w:spacing w:after="0" w:line="360" w:lineRule="auto"/>
        <w:ind w:firstLine="851"/>
        <w:contextualSpacing/>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In particolare, l’ente chiede se </w:t>
      </w:r>
      <w:r w:rsidR="007E2DC6">
        <w:rPr>
          <w:rFonts w:ascii="Bodoni MT" w:eastAsia="Times New Roman" w:hAnsi="Bodoni MT" w:cs="Times New Roman"/>
          <w:sz w:val="24"/>
          <w:szCs w:val="24"/>
          <w:lang w:eastAsia="it-IT"/>
        </w:rPr>
        <w:t>:</w:t>
      </w:r>
    </w:p>
    <w:p w14:paraId="56DB139A" w14:textId="77777777" w:rsidR="007E2DC6" w:rsidRDefault="00D84FE7" w:rsidP="007E2DC6">
      <w:pPr>
        <w:pStyle w:val="Paragrafoelenco"/>
        <w:numPr>
          <w:ilvl w:val="0"/>
          <w:numId w:val="2"/>
        </w:numPr>
        <w:spacing w:after="0" w:line="360" w:lineRule="auto"/>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i</w:t>
      </w:r>
      <w:r w:rsidR="007E2DC6">
        <w:rPr>
          <w:rFonts w:ascii="Bodoni MT" w:eastAsia="Times New Roman" w:hAnsi="Bodoni MT" w:cs="Times New Roman"/>
          <w:sz w:val="24"/>
          <w:szCs w:val="24"/>
          <w:lang w:eastAsia="it-IT"/>
        </w:rPr>
        <w:t xml:space="preserve">l limite del trattamento economico accessorio di cui alla legge n. 208/2015, art. 1, comma 236, si applica anche all’indennità di posizione ed alla retribuzione di risultato erogate ai titolari di posizione organizzativa e finanziate con risorse a carico del bilancio dell’ente; </w:t>
      </w:r>
    </w:p>
    <w:p w14:paraId="2D8BED37" w14:textId="77777777" w:rsidR="007E2DC6" w:rsidRPr="007E2DC6" w:rsidRDefault="00D84FE7" w:rsidP="007E2DC6">
      <w:pPr>
        <w:pStyle w:val="Paragrafoelenco"/>
        <w:numPr>
          <w:ilvl w:val="0"/>
          <w:numId w:val="2"/>
        </w:numPr>
        <w:spacing w:after="0" w:line="360" w:lineRule="auto"/>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lastRenderedPageBreak/>
        <w:t>t</w:t>
      </w:r>
      <w:r w:rsidR="007E2DC6">
        <w:rPr>
          <w:rFonts w:ascii="Bodoni MT" w:eastAsia="Times New Roman" w:hAnsi="Bodoni MT" w:cs="Times New Roman"/>
          <w:sz w:val="24"/>
          <w:szCs w:val="24"/>
          <w:lang w:eastAsia="it-IT"/>
        </w:rPr>
        <w:t>ale limite va verificato direttamente per il fondo delle risorse decentrate e per l’indennità di posizione e risultato oppure se è sufficiente il rispetto del limite nel complesso di tali risorse (fondo risorse decentrate + posizione e risultato);</w:t>
      </w:r>
    </w:p>
    <w:p w14:paraId="6C182188" w14:textId="77777777" w:rsidR="007E2DC6" w:rsidRDefault="00D84FE7" w:rsidP="007E2DC6">
      <w:pPr>
        <w:pStyle w:val="Paragrafoelenco"/>
        <w:numPr>
          <w:ilvl w:val="0"/>
          <w:numId w:val="2"/>
        </w:numPr>
        <w:spacing w:after="0" w:line="360" w:lineRule="auto"/>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p</w:t>
      </w:r>
      <w:r w:rsidR="0068494D">
        <w:rPr>
          <w:rFonts w:ascii="Bodoni MT" w:eastAsia="Times New Roman" w:hAnsi="Bodoni MT" w:cs="Times New Roman"/>
          <w:sz w:val="24"/>
          <w:szCs w:val="24"/>
          <w:lang w:eastAsia="it-IT"/>
        </w:rPr>
        <w:t xml:space="preserve">er il calcolo di tale limite l’ente “B” possa portare in diminuzione l’importo rimborsatogli dall’ente “A” a titolo di indennità di posizione e retribuzione di risultato e se pertanto l’ente “A”, per il calcolo di tale limite, debba tenere conto dell’importo che rimborsa all’ente “B”;  </w:t>
      </w:r>
    </w:p>
    <w:p w14:paraId="74CB5457" w14:textId="77777777" w:rsidR="007E2DC6" w:rsidRDefault="00D84FE7" w:rsidP="007E2DC6">
      <w:pPr>
        <w:pStyle w:val="Paragrafoelenco"/>
        <w:numPr>
          <w:ilvl w:val="0"/>
          <w:numId w:val="2"/>
        </w:numPr>
        <w:spacing w:after="0" w:line="360" w:lineRule="auto"/>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i</w:t>
      </w:r>
      <w:r w:rsidR="0068494D">
        <w:rPr>
          <w:rFonts w:ascii="Bodoni MT" w:eastAsia="Times New Roman" w:hAnsi="Bodoni MT" w:cs="Times New Roman"/>
          <w:sz w:val="24"/>
          <w:szCs w:val="24"/>
          <w:lang w:eastAsia="it-IT"/>
        </w:rPr>
        <w:t>l confronto fra il fondo per indennità di retribuzione e risultato dell’anno 2015 e quello previsto per l’anno 2016 debba essere effettuato sulla spesa effettivamente sostenuta o su quella annualizzata;</w:t>
      </w:r>
    </w:p>
    <w:p w14:paraId="4D161627" w14:textId="77777777" w:rsidR="00A85067" w:rsidRPr="0001097C" w:rsidRDefault="00A85067" w:rsidP="00A85067">
      <w:pPr>
        <w:spacing w:before="240" w:after="240" w:line="360" w:lineRule="auto"/>
        <w:jc w:val="center"/>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DIRITTO</w:t>
      </w:r>
    </w:p>
    <w:p w14:paraId="635CBC85" w14:textId="77777777" w:rsidR="00A85067" w:rsidRPr="0001097C" w:rsidRDefault="00A85067" w:rsidP="00A85067">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lastRenderedPageBreak/>
        <w:t>O</w:t>
      </w:r>
      <w:r w:rsidRPr="0001097C">
        <w:rPr>
          <w:rFonts w:ascii="Bodoni MT" w:eastAsia="Times New Roman" w:hAnsi="Bodoni MT" w:cs="Times New Roman"/>
          <w:sz w:val="24"/>
          <w:szCs w:val="24"/>
          <w:lang w:eastAsia="it-IT"/>
        </w:rPr>
        <w:t xml:space="preserve">ccorre verificare in via preliminare </w:t>
      </w:r>
      <w:r>
        <w:rPr>
          <w:rFonts w:ascii="Bodoni MT" w:eastAsia="Times New Roman" w:hAnsi="Bodoni MT" w:cs="Times New Roman"/>
          <w:sz w:val="24"/>
          <w:szCs w:val="24"/>
          <w:lang w:eastAsia="it-IT"/>
        </w:rPr>
        <w:t>l’integrazione de</w:t>
      </w:r>
      <w:r w:rsidRPr="0001097C">
        <w:rPr>
          <w:rFonts w:ascii="Bodoni MT" w:eastAsia="Times New Roman" w:hAnsi="Bodoni MT" w:cs="Times New Roman"/>
          <w:sz w:val="24"/>
          <w:szCs w:val="24"/>
          <w:lang w:eastAsia="it-IT"/>
        </w:rPr>
        <w:t>i necessari requisiti di ammissibilità, sia sotto il profilo soggettivo, con riferimento alla legittimazione dell’organo richiedente, sia sotto il profilo oggettivo, concernente l’attinenza alla materia della contabilità pubblica</w:t>
      </w:r>
      <w:r w:rsidR="00121B88">
        <w:rPr>
          <w:rFonts w:ascii="Bodoni MT" w:eastAsia="Times New Roman" w:hAnsi="Bodoni MT" w:cs="Times New Roman"/>
          <w:sz w:val="24"/>
          <w:szCs w:val="24"/>
          <w:lang w:eastAsia="it-IT"/>
        </w:rPr>
        <w:t xml:space="preserve"> e la generalità ed astrattezza del quesito</w:t>
      </w:r>
      <w:r w:rsidRPr="0001097C">
        <w:rPr>
          <w:rFonts w:ascii="Bodoni MT" w:eastAsia="Times New Roman" w:hAnsi="Bodoni MT" w:cs="Times New Roman"/>
          <w:sz w:val="24"/>
          <w:szCs w:val="24"/>
          <w:lang w:eastAsia="it-IT"/>
        </w:rPr>
        <w:t>.</w:t>
      </w:r>
    </w:p>
    <w:p w14:paraId="77B918CC" w14:textId="77777777" w:rsidR="00A85067" w:rsidRDefault="00A85067" w:rsidP="00A85067">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Nel caso in esame, il parere è</w:t>
      </w:r>
      <w:r w:rsidRPr="0001097C">
        <w:rPr>
          <w:rFonts w:ascii="Bodoni MT" w:eastAsia="Times New Roman" w:hAnsi="Bodoni MT" w:cs="Times New Roman"/>
          <w:sz w:val="24"/>
          <w:szCs w:val="24"/>
          <w:lang w:eastAsia="it-IT"/>
        </w:rPr>
        <w:t xml:space="preserve"> ammissibile sotto il profilo soggettivo, in quanto</w:t>
      </w:r>
      <w:r>
        <w:rPr>
          <w:rFonts w:ascii="Bodoni MT" w:eastAsia="Times New Roman" w:hAnsi="Bodoni MT" w:cs="Times New Roman"/>
          <w:sz w:val="24"/>
          <w:szCs w:val="24"/>
          <w:lang w:eastAsia="it-IT"/>
        </w:rPr>
        <w:t xml:space="preserve"> inoltrato dal legale rappresentate dell’ente, per il tramite del Consiglio delle Autonomie Locali.</w:t>
      </w:r>
      <w:r w:rsidRPr="00574148">
        <w:rPr>
          <w:rFonts w:ascii="Bodoni MT" w:eastAsia="Times New Roman" w:hAnsi="Bodoni MT" w:cs="Times New Roman"/>
          <w:sz w:val="24"/>
          <w:szCs w:val="24"/>
          <w:lang w:eastAsia="it-IT"/>
        </w:rPr>
        <w:t xml:space="preserve"> </w:t>
      </w:r>
      <w:r w:rsidR="00574148" w:rsidRPr="00574148">
        <w:rPr>
          <w:rFonts w:ascii="Bodoni MT" w:eastAsia="Times New Roman" w:hAnsi="Bodoni MT" w:cs="Times New Roman"/>
          <w:sz w:val="24"/>
          <w:szCs w:val="24"/>
          <w:lang w:eastAsia="it-IT"/>
        </w:rPr>
        <w:t>Parimenti,</w:t>
      </w:r>
      <w:r w:rsidR="00574148">
        <w:rPr>
          <w:rFonts w:ascii="Bodoni MT" w:eastAsia="Times New Roman" w:hAnsi="Bodoni MT" w:cs="Times New Roman"/>
          <w:sz w:val="24"/>
          <w:szCs w:val="24"/>
          <w:lang w:eastAsia="it-IT"/>
        </w:rPr>
        <w:t xml:space="preserve"> risulta integrato anche il presupposto oggettivo, trattandosi di </w:t>
      </w:r>
      <w:r w:rsidR="001F670F">
        <w:rPr>
          <w:rFonts w:ascii="Bodoni MT" w:eastAsia="Times New Roman" w:hAnsi="Bodoni MT" w:cs="Times New Roman"/>
          <w:sz w:val="24"/>
          <w:szCs w:val="24"/>
          <w:lang w:eastAsia="it-IT"/>
        </w:rPr>
        <w:t>questione generale</w:t>
      </w:r>
      <w:r w:rsidR="00574148">
        <w:rPr>
          <w:rFonts w:ascii="Bodoni MT" w:eastAsia="Times New Roman" w:hAnsi="Bodoni MT" w:cs="Times New Roman"/>
          <w:sz w:val="24"/>
          <w:szCs w:val="24"/>
          <w:lang w:eastAsia="it-IT"/>
        </w:rPr>
        <w:t xml:space="preserve"> rientrante nella contabilità pubblica, secondo la nozione offerta </w:t>
      </w:r>
      <w:r w:rsidR="00574148" w:rsidRPr="00574148">
        <w:rPr>
          <w:rFonts w:ascii="Bodoni MT" w:eastAsia="Times New Roman" w:hAnsi="Bodoni MT" w:cs="Times New Roman"/>
          <w:sz w:val="24"/>
          <w:szCs w:val="24"/>
          <w:lang w:eastAsia="it-IT"/>
        </w:rPr>
        <w:t>nelle deliberazioni n. 54 del 17 novembre 2010 delle Sezioni Riunite e n. 5 del 10 marzo 2006 della Sezione Autonomie</w:t>
      </w:r>
      <w:r w:rsidR="00574148">
        <w:rPr>
          <w:rFonts w:ascii="Bodoni MT" w:eastAsia="Times New Roman" w:hAnsi="Bodoni MT" w:cs="Times New Roman"/>
          <w:sz w:val="24"/>
          <w:szCs w:val="24"/>
          <w:lang w:eastAsia="it-IT"/>
        </w:rPr>
        <w:t>.</w:t>
      </w:r>
    </w:p>
    <w:p w14:paraId="12F94C30" w14:textId="77777777" w:rsidR="001F670F" w:rsidRDefault="001F670F" w:rsidP="00A85067">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lastRenderedPageBreak/>
        <w:t xml:space="preserve">In particolare, la norma di cui all’ </w:t>
      </w:r>
      <w:r w:rsidRPr="001F670F">
        <w:rPr>
          <w:rFonts w:ascii="Bodoni MT" w:eastAsia="Times New Roman" w:hAnsi="Bodoni MT" w:cs="Times New Roman"/>
          <w:sz w:val="24"/>
          <w:szCs w:val="24"/>
          <w:lang w:eastAsia="it-IT"/>
        </w:rPr>
        <w:t>art. 1 comma 236 della l. 208 del 28 dicembre 2015</w:t>
      </w:r>
      <w:r>
        <w:rPr>
          <w:rFonts w:ascii="Bodoni MT" w:eastAsia="Times New Roman" w:hAnsi="Bodoni MT" w:cs="Times New Roman"/>
          <w:sz w:val="24"/>
          <w:szCs w:val="24"/>
          <w:lang w:eastAsia="it-IT"/>
        </w:rPr>
        <w:t xml:space="preserve">, così dispone: </w:t>
      </w:r>
      <w:r w:rsidRPr="00D84FE7">
        <w:rPr>
          <w:rFonts w:ascii="Bodoni MT" w:eastAsia="Times New Roman" w:hAnsi="Bodoni MT" w:cs="Times New Roman"/>
          <w:i/>
          <w:sz w:val="24"/>
          <w:szCs w:val="24"/>
          <w:lang w:eastAsia="it-IT"/>
        </w:rPr>
        <w:t>“Nelle more dell'adozione dei decreti legislativi attuativi degli articoli 11 e 17 della legge 7 agosto 2015, n. 124, con particolare riferimento all'omogeneizzazione del trattamento economico fondamentale e accessorio della dirigenza, tenuto conto delle esigenze di finanza pubblica, a decorrere dal 1º gennaio 2016 l'ammontare complessivo delle risorse destinate annualmente al trattamento accessorio del personale, anche di livello dirigenziale, di ciascuna delle amministrazioni pubbliche di cui all'articolo 1, comma 2, del decreto legislativo 30 marzo 2001, n. 165, e successive modificazioni, non può superare il corrispondente importo determinato per l'anno 2015 ed è, comunque, automaticamente ridotto in misura proporzionale alla riduzione del personale in servizio, tenendo conto del personale assumibile ai sensi della normativa vigente”.</w:t>
      </w:r>
    </w:p>
    <w:p w14:paraId="00EC8D81" w14:textId="0785FE72" w:rsidR="00AF2006" w:rsidRDefault="00A94FDD" w:rsidP="005B018B">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lastRenderedPageBreak/>
        <w:t>In particolare, tale disposizione – che riprende la struttura normativa del precedente art. 9, comma 2-bis, del d.l. n. 78 del 2010, convertito con modificazioni dalla l.</w:t>
      </w:r>
      <w:r w:rsidR="00F56C13">
        <w:rPr>
          <w:rFonts w:ascii="Bodoni MT" w:eastAsia="Times New Roman" w:hAnsi="Bodoni MT" w:cs="Times New Roman"/>
          <w:sz w:val="24"/>
          <w:szCs w:val="24"/>
          <w:lang w:eastAsia="it-IT"/>
        </w:rPr>
        <w:t xml:space="preserve"> n. 122 del 2010 - </w:t>
      </w:r>
      <w:r>
        <w:rPr>
          <w:rFonts w:ascii="Bodoni MT" w:eastAsia="Times New Roman" w:hAnsi="Bodoni MT" w:cs="Times New Roman"/>
          <w:sz w:val="24"/>
          <w:szCs w:val="24"/>
          <w:lang w:eastAsia="it-IT"/>
        </w:rPr>
        <w:t xml:space="preserve"> </w:t>
      </w:r>
      <w:r w:rsidR="00AE0319">
        <w:rPr>
          <w:rFonts w:ascii="Bodoni MT" w:eastAsia="Times New Roman" w:hAnsi="Bodoni MT" w:cs="Times New Roman"/>
          <w:sz w:val="24"/>
          <w:szCs w:val="24"/>
          <w:lang w:eastAsia="it-IT"/>
        </w:rPr>
        <w:t>stabilisce</w:t>
      </w:r>
      <w:r w:rsidR="005B018B" w:rsidRPr="005B018B">
        <w:rPr>
          <w:rFonts w:ascii="Bodoni MT" w:eastAsia="Times New Roman" w:hAnsi="Bodoni MT" w:cs="Times New Roman"/>
          <w:sz w:val="24"/>
          <w:szCs w:val="24"/>
          <w:lang w:eastAsia="it-IT"/>
        </w:rPr>
        <w:t xml:space="preserve"> </w:t>
      </w:r>
      <w:r>
        <w:rPr>
          <w:rFonts w:ascii="Bodoni MT" w:eastAsia="Times New Roman" w:hAnsi="Bodoni MT" w:cs="Times New Roman"/>
          <w:sz w:val="24"/>
          <w:szCs w:val="24"/>
          <w:lang w:eastAsia="it-IT"/>
        </w:rPr>
        <w:t>un</w:t>
      </w:r>
      <w:r w:rsidR="005B018B" w:rsidRPr="005B018B">
        <w:rPr>
          <w:rFonts w:ascii="Bodoni MT" w:eastAsia="Times New Roman" w:hAnsi="Bodoni MT" w:cs="Times New Roman"/>
          <w:sz w:val="24"/>
          <w:szCs w:val="24"/>
          <w:lang w:eastAsia="it-IT"/>
        </w:rPr>
        <w:t xml:space="preserve"> limite all'ammontare complessivo delle risorse destinate annualmente al tratta</w:t>
      </w:r>
      <w:r w:rsidR="007026FE">
        <w:rPr>
          <w:rFonts w:ascii="Bodoni MT" w:eastAsia="Times New Roman" w:hAnsi="Bodoni MT" w:cs="Times New Roman"/>
          <w:sz w:val="24"/>
          <w:szCs w:val="24"/>
          <w:lang w:eastAsia="it-IT"/>
        </w:rPr>
        <w:t>mento accessorio del personale</w:t>
      </w:r>
      <w:r w:rsidR="00AE0319">
        <w:rPr>
          <w:rFonts w:ascii="Bodoni MT" w:eastAsia="Times New Roman" w:hAnsi="Bodoni MT" w:cs="Times New Roman"/>
          <w:sz w:val="24"/>
          <w:szCs w:val="24"/>
          <w:lang w:eastAsia="it-IT"/>
        </w:rPr>
        <w:t>,</w:t>
      </w:r>
      <w:r w:rsidR="00AE0319" w:rsidRPr="00AE0319">
        <w:rPr>
          <w:rFonts w:ascii="Bodoni MT" w:eastAsia="Times New Roman" w:hAnsi="Bodoni MT" w:cs="Times New Roman"/>
          <w:sz w:val="24"/>
          <w:szCs w:val="24"/>
          <w:lang w:eastAsia="it-IT"/>
        </w:rPr>
        <w:t xml:space="preserve"> </w:t>
      </w:r>
      <w:r w:rsidR="00AE0319" w:rsidRPr="005B018B">
        <w:rPr>
          <w:rFonts w:ascii="Bodoni MT" w:eastAsia="Times New Roman" w:hAnsi="Bodoni MT" w:cs="Times New Roman"/>
          <w:sz w:val="24"/>
          <w:szCs w:val="24"/>
          <w:lang w:eastAsia="it-IT"/>
        </w:rPr>
        <w:t xml:space="preserve">nell’ottica del contenimento della </w:t>
      </w:r>
      <w:r w:rsidR="00AE0319">
        <w:rPr>
          <w:rFonts w:ascii="Bodoni MT" w:eastAsia="Times New Roman" w:hAnsi="Bodoni MT" w:cs="Times New Roman"/>
          <w:sz w:val="24"/>
          <w:szCs w:val="24"/>
          <w:lang w:eastAsia="it-IT"/>
        </w:rPr>
        <w:t>spesa pubblica per il personale.</w:t>
      </w:r>
      <w:r w:rsidR="007026FE">
        <w:rPr>
          <w:rFonts w:ascii="Bodoni MT" w:eastAsia="Times New Roman" w:hAnsi="Bodoni MT" w:cs="Times New Roman"/>
          <w:sz w:val="24"/>
          <w:szCs w:val="24"/>
          <w:lang w:eastAsia="it-IT"/>
        </w:rPr>
        <w:t xml:space="preserve"> </w:t>
      </w:r>
      <w:r w:rsidR="007026FE" w:rsidRPr="005B018B">
        <w:rPr>
          <w:rFonts w:ascii="Bodoni MT" w:eastAsia="Times New Roman" w:hAnsi="Bodoni MT" w:cs="Times New Roman"/>
          <w:sz w:val="24"/>
          <w:szCs w:val="24"/>
          <w:lang w:eastAsia="it-IT"/>
        </w:rPr>
        <w:t>Detto</w:t>
      </w:r>
      <w:r w:rsidR="005B018B" w:rsidRPr="005B018B">
        <w:rPr>
          <w:rFonts w:ascii="Bodoni MT" w:eastAsia="Times New Roman" w:hAnsi="Bodoni MT" w:cs="Times New Roman"/>
          <w:sz w:val="24"/>
          <w:szCs w:val="24"/>
          <w:lang w:eastAsia="it-IT"/>
        </w:rPr>
        <w:t xml:space="preserve"> ammontare</w:t>
      </w:r>
      <w:r w:rsidR="00AF2006">
        <w:rPr>
          <w:rFonts w:ascii="Bodoni MT" w:eastAsia="Times New Roman" w:hAnsi="Bodoni MT" w:cs="Times New Roman"/>
          <w:sz w:val="24"/>
          <w:szCs w:val="24"/>
          <w:lang w:eastAsia="it-IT"/>
        </w:rPr>
        <w:t>,</w:t>
      </w:r>
      <w:r w:rsidR="005B018B" w:rsidRPr="005B018B">
        <w:rPr>
          <w:rFonts w:ascii="Bodoni MT" w:eastAsia="Times New Roman" w:hAnsi="Bodoni MT" w:cs="Times New Roman"/>
          <w:sz w:val="24"/>
          <w:szCs w:val="24"/>
          <w:lang w:eastAsia="it-IT"/>
        </w:rPr>
        <w:t xml:space="preserve"> infatti</w:t>
      </w:r>
      <w:r w:rsidR="00AF2006">
        <w:rPr>
          <w:rFonts w:ascii="Bodoni MT" w:eastAsia="Times New Roman" w:hAnsi="Bodoni MT" w:cs="Times New Roman"/>
          <w:sz w:val="24"/>
          <w:szCs w:val="24"/>
          <w:lang w:eastAsia="it-IT"/>
        </w:rPr>
        <w:t>:</w:t>
      </w:r>
    </w:p>
    <w:p w14:paraId="0DFD4CF5" w14:textId="77777777" w:rsidR="00AF2006" w:rsidRDefault="005B018B" w:rsidP="005B018B">
      <w:pPr>
        <w:spacing w:after="0" w:line="360" w:lineRule="auto"/>
        <w:ind w:firstLine="709"/>
        <w:jc w:val="both"/>
        <w:rPr>
          <w:rFonts w:ascii="Bodoni MT" w:eastAsia="Times New Roman" w:hAnsi="Bodoni MT" w:cs="Times New Roman"/>
          <w:sz w:val="24"/>
          <w:szCs w:val="24"/>
          <w:lang w:eastAsia="it-IT"/>
        </w:rPr>
      </w:pPr>
      <w:r w:rsidRPr="005B018B">
        <w:rPr>
          <w:rFonts w:ascii="Bodoni MT" w:eastAsia="Times New Roman" w:hAnsi="Bodoni MT" w:cs="Times New Roman"/>
          <w:sz w:val="24"/>
          <w:szCs w:val="24"/>
          <w:lang w:eastAsia="it-IT"/>
        </w:rPr>
        <w:t xml:space="preserve">a) non può superare il corrispondente importo determinato per l'anno 2015; </w:t>
      </w:r>
    </w:p>
    <w:p w14:paraId="497E043C" w14:textId="77777777" w:rsidR="005B018B" w:rsidRPr="005B018B" w:rsidRDefault="005B018B" w:rsidP="005B018B">
      <w:pPr>
        <w:spacing w:after="0" w:line="360" w:lineRule="auto"/>
        <w:ind w:firstLine="709"/>
        <w:jc w:val="both"/>
        <w:rPr>
          <w:rFonts w:ascii="Bodoni MT" w:eastAsia="Times New Roman" w:hAnsi="Bodoni MT" w:cs="Times New Roman"/>
          <w:sz w:val="24"/>
          <w:szCs w:val="24"/>
          <w:lang w:eastAsia="it-IT"/>
        </w:rPr>
      </w:pPr>
      <w:r w:rsidRPr="005B018B">
        <w:rPr>
          <w:rFonts w:ascii="Bodoni MT" w:eastAsia="Times New Roman" w:hAnsi="Bodoni MT" w:cs="Times New Roman"/>
          <w:sz w:val="24"/>
          <w:szCs w:val="24"/>
          <w:lang w:eastAsia="it-IT"/>
        </w:rPr>
        <w:t>b) deve essere automaticamente ridotto in misura proporzionale alla riduzione del personale in servizio (tenendo conto in tal caso anche del personale assumibile ai sensi della normativa vigente).</w:t>
      </w:r>
    </w:p>
    <w:p w14:paraId="66CE45D6" w14:textId="7CC5CD87" w:rsidR="0068494D" w:rsidRDefault="00AD1D48" w:rsidP="00F56C13">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lastRenderedPageBreak/>
        <w:t>Tale</w:t>
      </w:r>
      <w:r w:rsidR="00AE0319">
        <w:rPr>
          <w:rFonts w:ascii="Bodoni MT" w:eastAsia="Times New Roman" w:hAnsi="Bodoni MT" w:cs="Times New Roman"/>
          <w:sz w:val="24"/>
          <w:szCs w:val="24"/>
          <w:lang w:eastAsia="it-IT"/>
        </w:rPr>
        <w:t xml:space="preserve"> previsione di carattere</w:t>
      </w:r>
      <w:r w:rsidR="005B018B" w:rsidRPr="005B018B">
        <w:rPr>
          <w:rFonts w:ascii="Bodoni MT" w:eastAsia="Times New Roman" w:hAnsi="Bodoni MT" w:cs="Times New Roman"/>
          <w:sz w:val="24"/>
          <w:szCs w:val="24"/>
          <w:lang w:eastAsia="it-IT"/>
        </w:rPr>
        <w:t xml:space="preserve"> generale costituisce </w:t>
      </w:r>
      <w:r>
        <w:rPr>
          <w:rFonts w:ascii="Bodoni MT" w:eastAsia="Times New Roman" w:hAnsi="Bodoni MT" w:cs="Times New Roman"/>
          <w:sz w:val="24"/>
          <w:szCs w:val="24"/>
          <w:lang w:eastAsia="it-IT"/>
        </w:rPr>
        <w:t xml:space="preserve">il </w:t>
      </w:r>
      <w:r w:rsidR="005B018B" w:rsidRPr="005B018B">
        <w:rPr>
          <w:rFonts w:ascii="Bodoni MT" w:eastAsia="Times New Roman" w:hAnsi="Bodoni MT" w:cs="Times New Roman"/>
          <w:sz w:val="24"/>
          <w:szCs w:val="24"/>
          <w:lang w:eastAsia="it-IT"/>
        </w:rPr>
        <w:t>lim</w:t>
      </w:r>
      <w:r w:rsidR="00AE0319">
        <w:rPr>
          <w:rFonts w:ascii="Bodoni MT" w:eastAsia="Times New Roman" w:hAnsi="Bodoni MT" w:cs="Times New Roman"/>
          <w:sz w:val="24"/>
          <w:szCs w:val="24"/>
          <w:lang w:eastAsia="it-IT"/>
        </w:rPr>
        <w:t>ite m</w:t>
      </w:r>
      <w:r w:rsidR="00F56C13">
        <w:rPr>
          <w:rFonts w:ascii="Bodoni MT" w:eastAsia="Times New Roman" w:hAnsi="Bodoni MT" w:cs="Times New Roman"/>
          <w:sz w:val="24"/>
          <w:szCs w:val="24"/>
          <w:lang w:eastAsia="it-IT"/>
        </w:rPr>
        <w:t>assimo per lo stanziamento</w:t>
      </w:r>
      <w:r w:rsidR="00AE0319">
        <w:rPr>
          <w:rFonts w:ascii="Bodoni MT" w:eastAsia="Times New Roman" w:hAnsi="Bodoni MT" w:cs="Times New Roman"/>
          <w:sz w:val="24"/>
          <w:szCs w:val="24"/>
          <w:lang w:eastAsia="it-IT"/>
        </w:rPr>
        <w:t xml:space="preserve"> </w:t>
      </w:r>
      <w:r w:rsidR="005B018B" w:rsidRPr="005B018B">
        <w:rPr>
          <w:rFonts w:ascii="Bodoni MT" w:eastAsia="Times New Roman" w:hAnsi="Bodoni MT" w:cs="Times New Roman"/>
          <w:sz w:val="24"/>
          <w:szCs w:val="24"/>
          <w:lang w:eastAsia="it-IT"/>
        </w:rPr>
        <w:t>di risorse destinate al trattam</w:t>
      </w:r>
      <w:r>
        <w:rPr>
          <w:rFonts w:ascii="Bodoni MT" w:eastAsia="Times New Roman" w:hAnsi="Bodoni MT" w:cs="Times New Roman"/>
          <w:sz w:val="24"/>
          <w:szCs w:val="24"/>
          <w:lang w:eastAsia="it-IT"/>
        </w:rPr>
        <w:t>ento accessorio d</w:t>
      </w:r>
      <w:r w:rsidR="00AE0319">
        <w:rPr>
          <w:rFonts w:ascii="Bodoni MT" w:eastAsia="Times New Roman" w:hAnsi="Bodoni MT" w:cs="Times New Roman"/>
          <w:sz w:val="24"/>
          <w:szCs w:val="24"/>
          <w:lang w:eastAsia="it-IT"/>
        </w:rPr>
        <w:t>el personale (al riguardo,</w:t>
      </w:r>
      <w:r>
        <w:rPr>
          <w:rFonts w:ascii="Bodoni MT" w:eastAsia="Times New Roman" w:hAnsi="Bodoni MT" w:cs="Times New Roman"/>
          <w:sz w:val="24"/>
          <w:szCs w:val="24"/>
          <w:lang w:eastAsia="it-IT"/>
        </w:rPr>
        <w:t xml:space="preserve"> si vedano:</w:t>
      </w:r>
      <w:r w:rsidR="005B018B" w:rsidRPr="005B018B">
        <w:rPr>
          <w:rFonts w:ascii="Bodoni MT" w:eastAsia="Times New Roman" w:hAnsi="Bodoni MT" w:cs="Times New Roman"/>
          <w:sz w:val="24"/>
          <w:szCs w:val="24"/>
          <w:lang w:eastAsia="it-IT"/>
        </w:rPr>
        <w:t xml:space="preserve"> </w:t>
      </w:r>
      <w:r w:rsidRPr="00AD1D48">
        <w:rPr>
          <w:rFonts w:ascii="Bodoni MT" w:eastAsia="Times New Roman" w:hAnsi="Bodoni MT" w:cs="Times New Roman"/>
          <w:sz w:val="24"/>
          <w:szCs w:val="24"/>
          <w:lang w:eastAsia="it-IT"/>
        </w:rPr>
        <w:t xml:space="preserve">deliberazione </w:t>
      </w:r>
      <w:r>
        <w:rPr>
          <w:rFonts w:ascii="Bodoni MT" w:eastAsia="Times New Roman" w:hAnsi="Bodoni MT" w:cs="Times New Roman"/>
          <w:sz w:val="24"/>
          <w:szCs w:val="24"/>
          <w:lang w:eastAsia="it-IT"/>
        </w:rPr>
        <w:t>delle Sezioni R</w:t>
      </w:r>
      <w:r w:rsidRPr="00AD1D48">
        <w:rPr>
          <w:rFonts w:ascii="Bodoni MT" w:eastAsia="Times New Roman" w:hAnsi="Bodoni MT" w:cs="Times New Roman"/>
          <w:sz w:val="24"/>
          <w:szCs w:val="24"/>
          <w:lang w:eastAsia="it-IT"/>
        </w:rPr>
        <w:t>iunite n. 51/</w:t>
      </w:r>
      <w:r>
        <w:rPr>
          <w:rFonts w:ascii="Bodoni MT" w:eastAsia="Times New Roman" w:hAnsi="Bodoni MT" w:cs="Times New Roman"/>
          <w:sz w:val="24"/>
          <w:szCs w:val="24"/>
          <w:lang w:eastAsia="it-IT"/>
        </w:rPr>
        <w:t xml:space="preserve">2011, deliberazione della </w:t>
      </w:r>
      <w:r w:rsidRPr="00AD1D48">
        <w:rPr>
          <w:rFonts w:ascii="Bodoni MT" w:eastAsia="Times New Roman" w:hAnsi="Bodoni MT" w:cs="Times New Roman"/>
          <w:sz w:val="24"/>
          <w:szCs w:val="24"/>
          <w:lang w:eastAsia="it-IT"/>
        </w:rPr>
        <w:t>Sez</w:t>
      </w:r>
      <w:r>
        <w:rPr>
          <w:rFonts w:ascii="Bodoni MT" w:eastAsia="Times New Roman" w:hAnsi="Bodoni MT" w:cs="Times New Roman"/>
          <w:sz w:val="24"/>
          <w:szCs w:val="24"/>
          <w:lang w:eastAsia="it-IT"/>
        </w:rPr>
        <w:t>ione A</w:t>
      </w:r>
      <w:r w:rsidRPr="00AD1D48">
        <w:rPr>
          <w:rFonts w:ascii="Bodoni MT" w:eastAsia="Times New Roman" w:hAnsi="Bodoni MT" w:cs="Times New Roman"/>
          <w:sz w:val="24"/>
          <w:szCs w:val="24"/>
          <w:lang w:eastAsia="it-IT"/>
        </w:rPr>
        <w:t>utonomie n. 26/2014</w:t>
      </w:r>
      <w:r>
        <w:rPr>
          <w:rFonts w:ascii="Bodoni MT" w:eastAsia="Times New Roman" w:hAnsi="Bodoni MT" w:cs="Times New Roman"/>
          <w:sz w:val="24"/>
          <w:szCs w:val="24"/>
          <w:lang w:eastAsia="it-IT"/>
        </w:rPr>
        <w:t>,</w:t>
      </w:r>
      <w:r w:rsidR="005B018B" w:rsidRPr="005B018B">
        <w:rPr>
          <w:rFonts w:ascii="Bodoni MT" w:eastAsia="Times New Roman" w:hAnsi="Bodoni MT" w:cs="Times New Roman"/>
          <w:sz w:val="24"/>
          <w:szCs w:val="24"/>
          <w:lang w:eastAsia="it-IT"/>
        </w:rPr>
        <w:t xml:space="preserve"> deliberazion</w:t>
      </w:r>
      <w:r>
        <w:rPr>
          <w:rFonts w:ascii="Bodoni MT" w:eastAsia="Times New Roman" w:hAnsi="Bodoni MT" w:cs="Times New Roman"/>
          <w:sz w:val="24"/>
          <w:szCs w:val="24"/>
          <w:lang w:eastAsia="it-IT"/>
        </w:rPr>
        <w:t>i</w:t>
      </w:r>
      <w:r w:rsidR="005B018B" w:rsidRPr="005B018B">
        <w:rPr>
          <w:rFonts w:ascii="Bodoni MT" w:eastAsia="Times New Roman" w:hAnsi="Bodoni MT" w:cs="Times New Roman"/>
          <w:sz w:val="24"/>
          <w:szCs w:val="24"/>
          <w:lang w:eastAsia="it-IT"/>
        </w:rPr>
        <w:t xml:space="preserve"> </w:t>
      </w:r>
      <w:r>
        <w:rPr>
          <w:rFonts w:ascii="Bodoni MT" w:eastAsia="Times New Roman" w:hAnsi="Bodoni MT" w:cs="Times New Roman"/>
          <w:sz w:val="24"/>
          <w:szCs w:val="24"/>
          <w:lang w:eastAsia="it-IT"/>
        </w:rPr>
        <w:t xml:space="preserve">della </w:t>
      </w:r>
      <w:r w:rsidR="005B018B" w:rsidRPr="005B018B">
        <w:rPr>
          <w:rFonts w:ascii="Bodoni MT" w:eastAsia="Times New Roman" w:hAnsi="Bodoni MT" w:cs="Times New Roman"/>
          <w:sz w:val="24"/>
          <w:szCs w:val="24"/>
          <w:lang w:eastAsia="it-IT"/>
        </w:rPr>
        <w:t xml:space="preserve">Sezione </w:t>
      </w:r>
      <w:r>
        <w:rPr>
          <w:rFonts w:ascii="Bodoni MT" w:eastAsia="Times New Roman" w:hAnsi="Bodoni MT" w:cs="Times New Roman"/>
          <w:sz w:val="24"/>
          <w:szCs w:val="24"/>
          <w:lang w:eastAsia="it-IT"/>
        </w:rPr>
        <w:t xml:space="preserve">di controllo per la Lombardia n. </w:t>
      </w:r>
      <w:r w:rsidR="00EC1339">
        <w:rPr>
          <w:rFonts w:ascii="Bodoni MT" w:eastAsia="Times New Roman" w:hAnsi="Bodoni MT" w:cs="Times New Roman"/>
          <w:sz w:val="24"/>
          <w:szCs w:val="24"/>
          <w:lang w:eastAsia="it-IT"/>
        </w:rPr>
        <w:t xml:space="preserve">205/2016, </w:t>
      </w:r>
      <w:r>
        <w:rPr>
          <w:rFonts w:ascii="Bodoni MT" w:eastAsia="Times New Roman" w:hAnsi="Bodoni MT" w:cs="Times New Roman"/>
          <w:sz w:val="24"/>
          <w:szCs w:val="24"/>
          <w:lang w:eastAsia="it-IT"/>
        </w:rPr>
        <w:t>145/2016 e n. 123/2016</w:t>
      </w:r>
      <w:r w:rsidR="005B018B" w:rsidRPr="005B018B">
        <w:rPr>
          <w:rFonts w:ascii="Bodoni MT" w:eastAsia="Times New Roman" w:hAnsi="Bodoni MT" w:cs="Times New Roman"/>
          <w:sz w:val="24"/>
          <w:szCs w:val="24"/>
          <w:lang w:eastAsia="it-IT"/>
        </w:rPr>
        <w:t>).</w:t>
      </w:r>
    </w:p>
    <w:p w14:paraId="25F8D23B" w14:textId="30A97687" w:rsidR="001671BD" w:rsidRDefault="00B15F83" w:rsidP="00F56C13">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Ciò premesso con riferimento al quesito in oggetto, l’espressione letterale usata dal legislatore al citato art. 1, comma 236 della legge 208/2015 </w:t>
      </w:r>
      <w:r w:rsidRPr="00B15F83">
        <w:rPr>
          <w:rFonts w:ascii="Bodoni MT" w:eastAsia="Times New Roman" w:hAnsi="Bodoni MT" w:cs="Times New Roman"/>
          <w:i/>
          <w:sz w:val="24"/>
          <w:szCs w:val="24"/>
          <w:lang w:eastAsia="it-IT"/>
        </w:rPr>
        <w:t>“l’ammontare complessivo delle risorse destinate annualmente al trattamento accessorio del personale”</w:t>
      </w:r>
      <w:r w:rsidR="00A94FDD">
        <w:rPr>
          <w:rFonts w:ascii="Bodoni MT" w:eastAsia="Times New Roman" w:hAnsi="Bodoni MT" w:cs="Times New Roman"/>
          <w:i/>
          <w:sz w:val="24"/>
          <w:szCs w:val="24"/>
          <w:lang w:eastAsia="it-IT"/>
        </w:rPr>
        <w:t xml:space="preserve"> - </w:t>
      </w:r>
      <w:r w:rsidR="00A94FDD">
        <w:rPr>
          <w:rFonts w:ascii="Bodoni MT" w:eastAsia="Times New Roman" w:hAnsi="Bodoni MT" w:cs="Times New Roman"/>
          <w:sz w:val="24"/>
          <w:szCs w:val="24"/>
          <w:lang w:eastAsia="it-IT"/>
        </w:rPr>
        <w:t>che</w:t>
      </w:r>
      <w:r w:rsidR="00A94FDD" w:rsidRPr="005B018B">
        <w:rPr>
          <w:rFonts w:ascii="Bodoni MT" w:eastAsia="Times New Roman" w:hAnsi="Bodoni MT" w:cs="Times New Roman"/>
          <w:sz w:val="24"/>
          <w:szCs w:val="24"/>
          <w:lang w:eastAsia="it-IT"/>
        </w:rPr>
        <w:t xml:space="preserve"> </w:t>
      </w:r>
      <w:r w:rsidR="00AE0319">
        <w:rPr>
          <w:rFonts w:ascii="Bodoni MT" w:eastAsia="Times New Roman" w:hAnsi="Bodoni MT" w:cs="Times New Roman"/>
          <w:sz w:val="24"/>
          <w:szCs w:val="24"/>
          <w:lang w:eastAsia="it-IT"/>
        </w:rPr>
        <w:t xml:space="preserve">come già citato </w:t>
      </w:r>
      <w:r w:rsidR="00A94FDD" w:rsidRPr="005B018B">
        <w:rPr>
          <w:rFonts w:ascii="Bodoni MT" w:eastAsia="Times New Roman" w:hAnsi="Bodoni MT" w:cs="Times New Roman"/>
          <w:sz w:val="24"/>
          <w:szCs w:val="24"/>
          <w:lang w:eastAsia="it-IT"/>
        </w:rPr>
        <w:t>r</w:t>
      </w:r>
      <w:r w:rsidR="00A94FDD">
        <w:rPr>
          <w:rFonts w:ascii="Bodoni MT" w:eastAsia="Times New Roman" w:hAnsi="Bodoni MT" w:cs="Times New Roman"/>
          <w:sz w:val="24"/>
          <w:szCs w:val="24"/>
          <w:lang w:eastAsia="it-IT"/>
        </w:rPr>
        <w:t>iprende</w:t>
      </w:r>
      <w:r w:rsidR="00A94FDD" w:rsidRPr="005B018B">
        <w:rPr>
          <w:rFonts w:ascii="Bodoni MT" w:eastAsia="Times New Roman" w:hAnsi="Bodoni MT" w:cs="Times New Roman"/>
          <w:sz w:val="24"/>
          <w:szCs w:val="24"/>
          <w:lang w:eastAsia="it-IT"/>
        </w:rPr>
        <w:t xml:space="preserve"> la struttura normativa del precedente art. 9, comma 2-bis, del </w:t>
      </w:r>
      <w:r w:rsidR="00A94FDD">
        <w:rPr>
          <w:rFonts w:ascii="Bodoni MT" w:eastAsia="Times New Roman" w:hAnsi="Bodoni MT" w:cs="Times New Roman"/>
          <w:sz w:val="24"/>
          <w:szCs w:val="24"/>
          <w:lang w:eastAsia="it-IT"/>
        </w:rPr>
        <w:t>d.l.</w:t>
      </w:r>
      <w:r w:rsidR="00A94FDD" w:rsidRPr="005B018B">
        <w:rPr>
          <w:rFonts w:ascii="Bodoni MT" w:eastAsia="Times New Roman" w:hAnsi="Bodoni MT" w:cs="Times New Roman"/>
          <w:sz w:val="24"/>
          <w:szCs w:val="24"/>
          <w:lang w:eastAsia="it-IT"/>
        </w:rPr>
        <w:t xml:space="preserve"> </w:t>
      </w:r>
      <w:r w:rsidR="00A94FDD" w:rsidRPr="005B018B">
        <w:rPr>
          <w:rFonts w:ascii="Bodoni MT" w:eastAsia="Times New Roman" w:hAnsi="Bodoni MT" w:cs="Times New Roman"/>
          <w:sz w:val="24"/>
          <w:szCs w:val="24"/>
          <w:lang w:eastAsia="it-IT"/>
        </w:rPr>
        <w:lastRenderedPageBreak/>
        <w:t>n. 78 del 2010</w:t>
      </w:r>
      <w:r w:rsidR="00AE0319">
        <w:rPr>
          <w:rFonts w:ascii="Bodoni MT" w:eastAsia="Times New Roman" w:hAnsi="Bodoni MT" w:cs="Times New Roman"/>
          <w:sz w:val="24"/>
          <w:szCs w:val="24"/>
          <w:lang w:eastAsia="it-IT"/>
        </w:rPr>
        <w:t xml:space="preserve"> e ss.</w:t>
      </w:r>
      <w:r>
        <w:rPr>
          <w:rFonts w:ascii="Bodoni MT" w:eastAsia="Times New Roman" w:hAnsi="Bodoni MT" w:cs="Times New Roman"/>
          <w:sz w:val="24"/>
          <w:szCs w:val="24"/>
          <w:lang w:eastAsia="it-IT"/>
        </w:rPr>
        <w:t xml:space="preserve"> </w:t>
      </w:r>
      <w:r w:rsidR="00A94FDD">
        <w:rPr>
          <w:rFonts w:ascii="Bodoni MT" w:eastAsia="Times New Roman" w:hAnsi="Bodoni MT" w:cs="Times New Roman"/>
          <w:sz w:val="24"/>
          <w:szCs w:val="24"/>
          <w:lang w:eastAsia="it-IT"/>
        </w:rPr>
        <w:t xml:space="preserve">- </w:t>
      </w:r>
      <w:r>
        <w:rPr>
          <w:rFonts w:ascii="Bodoni MT" w:eastAsia="Times New Roman" w:hAnsi="Bodoni MT" w:cs="Times New Roman"/>
          <w:sz w:val="24"/>
          <w:szCs w:val="24"/>
          <w:lang w:eastAsia="it-IT"/>
        </w:rPr>
        <w:t>esprime la volontà</w:t>
      </w:r>
      <w:r w:rsidR="001671BD">
        <w:rPr>
          <w:rFonts w:ascii="Bodoni MT" w:eastAsia="Times New Roman" w:hAnsi="Bodoni MT" w:cs="Times New Roman"/>
          <w:sz w:val="24"/>
          <w:szCs w:val="24"/>
          <w:lang w:eastAsia="it-IT"/>
        </w:rPr>
        <w:t xml:space="preserve"> precettiva</w:t>
      </w:r>
      <w:r>
        <w:rPr>
          <w:rFonts w:ascii="Bodoni MT" w:eastAsia="Times New Roman" w:hAnsi="Bodoni MT" w:cs="Times New Roman"/>
          <w:sz w:val="24"/>
          <w:szCs w:val="24"/>
          <w:lang w:eastAsia="it-IT"/>
        </w:rPr>
        <w:t xml:space="preserve"> di perimetrare nella fattispecie normativa </w:t>
      </w:r>
      <w:r w:rsidR="001671BD">
        <w:rPr>
          <w:rFonts w:ascii="Bodoni MT" w:eastAsia="Times New Roman" w:hAnsi="Bodoni MT" w:cs="Times New Roman"/>
          <w:sz w:val="24"/>
          <w:szCs w:val="24"/>
          <w:lang w:eastAsia="it-IT"/>
        </w:rPr>
        <w:t xml:space="preserve">in esame </w:t>
      </w:r>
      <w:r>
        <w:rPr>
          <w:rFonts w:ascii="Bodoni MT" w:eastAsia="Times New Roman" w:hAnsi="Bodoni MT" w:cs="Times New Roman"/>
          <w:sz w:val="24"/>
          <w:szCs w:val="24"/>
          <w:lang w:eastAsia="it-IT"/>
        </w:rPr>
        <w:t>ogni genere di risorse destinate alla copertura degli oneri accessori del personale</w:t>
      </w:r>
      <w:r w:rsidR="001671BD">
        <w:rPr>
          <w:rFonts w:ascii="Bodoni MT" w:eastAsia="Times New Roman" w:hAnsi="Bodoni MT" w:cs="Times New Roman"/>
          <w:sz w:val="24"/>
          <w:szCs w:val="24"/>
          <w:lang w:eastAsia="it-IT"/>
        </w:rPr>
        <w:t>.</w:t>
      </w:r>
      <w:r>
        <w:rPr>
          <w:rFonts w:ascii="Bodoni MT" w:eastAsia="Times New Roman" w:hAnsi="Bodoni MT" w:cs="Times New Roman"/>
          <w:sz w:val="24"/>
          <w:szCs w:val="24"/>
          <w:lang w:eastAsia="it-IT"/>
        </w:rPr>
        <w:t xml:space="preserve"> </w:t>
      </w:r>
    </w:p>
    <w:p w14:paraId="55A5E505" w14:textId="794D9EAA" w:rsidR="0098069B" w:rsidRDefault="001671BD" w:rsidP="001671BD">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Sul medesimo oggetto aveva già avuto modo di esprimersi la Sezione delle Autonomie </w:t>
      </w:r>
      <w:r w:rsidR="0098069B">
        <w:rPr>
          <w:rFonts w:ascii="Bodoni MT" w:eastAsia="Times New Roman" w:hAnsi="Bodoni MT" w:cs="Times New Roman"/>
          <w:sz w:val="24"/>
          <w:szCs w:val="24"/>
          <w:lang w:eastAsia="it-IT"/>
        </w:rPr>
        <w:t xml:space="preserve">– con una pronuncia di indirizzo - </w:t>
      </w:r>
      <w:r>
        <w:rPr>
          <w:rFonts w:ascii="Bodoni MT" w:eastAsia="Times New Roman" w:hAnsi="Bodoni MT" w:cs="Times New Roman"/>
          <w:sz w:val="24"/>
          <w:szCs w:val="24"/>
          <w:lang w:eastAsia="it-IT"/>
        </w:rPr>
        <w:t xml:space="preserve">in merito </w:t>
      </w:r>
      <w:r w:rsidR="0098069B">
        <w:rPr>
          <w:rFonts w:ascii="Bodoni MT" w:eastAsia="Times New Roman" w:hAnsi="Bodoni MT" w:cs="Times New Roman"/>
          <w:sz w:val="24"/>
          <w:szCs w:val="24"/>
          <w:lang w:eastAsia="it-IT"/>
        </w:rPr>
        <w:t>alle divergenze interpretative tra la sezione regionale di controllo per il Veneto (del. N. 717/2012/PAR), secondo la quale l’art. 9, comma 2-bis, non facendo espresso riferimento al “fondo” per il finanziamento d</w:t>
      </w:r>
      <w:r w:rsidR="00F56C13">
        <w:rPr>
          <w:rFonts w:ascii="Bodoni MT" w:eastAsia="Times New Roman" w:hAnsi="Bodoni MT" w:cs="Times New Roman"/>
          <w:sz w:val="24"/>
          <w:szCs w:val="24"/>
          <w:lang w:eastAsia="it-IT"/>
        </w:rPr>
        <w:t>ella contrattazione integrativa</w:t>
      </w:r>
      <w:r w:rsidR="0098069B">
        <w:rPr>
          <w:rFonts w:ascii="Bodoni MT" w:eastAsia="Times New Roman" w:hAnsi="Bodoni MT" w:cs="Times New Roman"/>
          <w:sz w:val="24"/>
          <w:szCs w:val="24"/>
          <w:lang w:eastAsia="it-IT"/>
        </w:rPr>
        <w:t xml:space="preserve">, includerebbe nel trattamento accessorio tutti gli emolumenti corrisposti a tale titolo indipendentemente dalla loro allocazione in bilancio, e le Sezioni di controllo per la Lombardia (del. N. 59/2012/PAR) e la Liguria (del. N. 17/2014/PAR), il cui avviso contrario troverebbe fondamento in una pronunzia </w:t>
      </w:r>
      <w:r w:rsidR="0098069B">
        <w:rPr>
          <w:rFonts w:ascii="Bodoni MT" w:eastAsia="Times New Roman" w:hAnsi="Bodoni MT" w:cs="Times New Roman"/>
          <w:sz w:val="24"/>
          <w:szCs w:val="24"/>
          <w:lang w:eastAsia="it-IT"/>
        </w:rPr>
        <w:lastRenderedPageBreak/>
        <w:t>nomofilattica delle Sezioni riunite (QM 51/CONTR/11), da cui emergerebbe che la latitudine operativa della disposizione vincolistica non possa andare oltre le risorse del fondo.</w:t>
      </w:r>
    </w:p>
    <w:p w14:paraId="584FC483" w14:textId="77777777" w:rsidR="0098069B" w:rsidRDefault="0098069B" w:rsidP="001671BD">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Alla base dell’accennato contrasto interpretativo tra le richiamate sezioni regionali di controllo è la particolare disciplina prevista dal CCNL</w:t>
      </w:r>
      <w:r w:rsidR="005B5079">
        <w:rPr>
          <w:rFonts w:ascii="Bodoni MT" w:eastAsia="Times New Roman" w:hAnsi="Bodoni MT" w:cs="Times New Roman"/>
          <w:sz w:val="24"/>
          <w:szCs w:val="24"/>
          <w:lang w:eastAsia="it-IT"/>
        </w:rPr>
        <w:t xml:space="preserve"> 31 marzo 1999,</w:t>
      </w:r>
      <w:r>
        <w:rPr>
          <w:rFonts w:ascii="Bodoni MT" w:eastAsia="Times New Roman" w:hAnsi="Bodoni MT" w:cs="Times New Roman"/>
          <w:sz w:val="24"/>
          <w:szCs w:val="24"/>
          <w:lang w:eastAsia="it-IT"/>
        </w:rPr>
        <w:t xml:space="preserve"> per il personale del comparto Regioni ed autonomie locali</w:t>
      </w:r>
      <w:r w:rsidR="005B5079">
        <w:rPr>
          <w:rFonts w:ascii="Bodoni MT" w:eastAsia="Times New Roman" w:hAnsi="Bodoni MT" w:cs="Times New Roman"/>
          <w:sz w:val="24"/>
          <w:szCs w:val="24"/>
          <w:lang w:eastAsia="it-IT"/>
        </w:rPr>
        <w:t>.</w:t>
      </w:r>
    </w:p>
    <w:p w14:paraId="0732AB50" w14:textId="77777777" w:rsidR="005B5079" w:rsidRDefault="005B5079" w:rsidP="001671BD">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La disciplina contrattuale del comparto in esame prevede, un doppio regime di finanziamento della retribuzione di posizione e di risultato per i titolari di posizione organizzativa, il quale opera in ragione della presenza o meno delle posizioni dirigenziali nell’ambito della struttura degli enti. Infatti, mentre i Comuni che dispongono di </w:t>
      </w:r>
      <w:r>
        <w:rPr>
          <w:rFonts w:ascii="Bodoni MT" w:eastAsia="Times New Roman" w:hAnsi="Bodoni MT" w:cs="Times New Roman"/>
          <w:sz w:val="24"/>
          <w:szCs w:val="24"/>
          <w:lang w:eastAsia="it-IT"/>
        </w:rPr>
        <w:lastRenderedPageBreak/>
        <w:t xml:space="preserve">dirigenza devono far gravare il finanziamento delle retribuzione accessoria delle posizioni organizzative esclusivamente sulle risorse stabili del fondo per le risorse decentrate, i Comuni privi di posizioni dirigenziali, potendo individuare direttamente in bilancio le relative risorse, non sono tenuti ad applicare, in tale fattispecie, il normale regime della contrattazione integrativa. </w:t>
      </w:r>
    </w:p>
    <w:p w14:paraId="3DE2C7BF" w14:textId="77777777" w:rsidR="0000614A" w:rsidRDefault="005B5079" w:rsidP="0000614A">
      <w:pPr>
        <w:spacing w:after="0" w:line="360" w:lineRule="auto"/>
        <w:ind w:firstLine="709"/>
        <w:jc w:val="both"/>
        <w:rPr>
          <w:rFonts w:ascii="Bodoni MT" w:eastAsia="Times New Roman" w:hAnsi="Bodoni MT" w:cs="Times New Roman"/>
          <w:i/>
          <w:sz w:val="24"/>
          <w:szCs w:val="24"/>
          <w:lang w:eastAsia="it-IT"/>
        </w:rPr>
      </w:pPr>
      <w:r>
        <w:rPr>
          <w:rFonts w:ascii="Bodoni MT" w:eastAsia="Times New Roman" w:hAnsi="Bodoni MT" w:cs="Times New Roman"/>
          <w:sz w:val="24"/>
          <w:szCs w:val="24"/>
          <w:lang w:eastAsia="it-IT"/>
        </w:rPr>
        <w:t xml:space="preserve">La Sezione delle autonomie, nella delibera n. 26 del 6 ottobre 2014, osserva che </w:t>
      </w:r>
      <w:r w:rsidRPr="005B5079">
        <w:rPr>
          <w:rFonts w:ascii="Bodoni MT" w:eastAsia="Times New Roman" w:hAnsi="Bodoni MT" w:cs="Times New Roman"/>
          <w:i/>
          <w:sz w:val="24"/>
          <w:szCs w:val="24"/>
          <w:lang w:eastAsia="it-IT"/>
        </w:rPr>
        <w:t>“la determinazione del</w:t>
      </w:r>
      <w:r w:rsidR="001671BD" w:rsidRPr="005B5079">
        <w:rPr>
          <w:rFonts w:ascii="Bodoni MT" w:eastAsia="Times New Roman" w:hAnsi="Bodoni MT" w:cs="Times New Roman"/>
          <w:i/>
          <w:sz w:val="24"/>
          <w:szCs w:val="24"/>
          <w:lang w:eastAsia="it-IT"/>
        </w:rPr>
        <w:t xml:space="preserve"> contenuto precettivo del citato art. 9, comma 2-bis, del d.l. n. 78/2010</w:t>
      </w:r>
      <w:r w:rsidR="0098069B" w:rsidRPr="0000614A">
        <w:rPr>
          <w:rFonts w:ascii="Bodoni MT" w:eastAsia="Times New Roman" w:hAnsi="Bodoni MT" w:cs="Times New Roman"/>
          <w:i/>
          <w:sz w:val="24"/>
          <w:szCs w:val="24"/>
          <w:lang w:eastAsia="it-IT"/>
        </w:rPr>
        <w:t xml:space="preserve">, </w:t>
      </w:r>
      <w:r w:rsidRPr="0000614A">
        <w:rPr>
          <w:rFonts w:ascii="Bodoni MT" w:eastAsia="Times New Roman" w:hAnsi="Bodoni MT" w:cs="Times New Roman"/>
          <w:i/>
          <w:sz w:val="24"/>
          <w:szCs w:val="24"/>
          <w:lang w:eastAsia="it-IT"/>
        </w:rPr>
        <w:t xml:space="preserve">convertito in legge n. 122/2010, non può non </w:t>
      </w:r>
      <w:r w:rsidR="0000614A" w:rsidRPr="0000614A">
        <w:rPr>
          <w:rFonts w:ascii="Bodoni MT" w:eastAsia="Times New Roman" w:hAnsi="Bodoni MT" w:cs="Times New Roman"/>
          <w:i/>
          <w:sz w:val="24"/>
          <w:szCs w:val="24"/>
          <w:lang w:eastAsia="it-IT"/>
        </w:rPr>
        <w:t>tenere in debita considerazione, anzitutto, l’espressione letterale adoperata dal legislatore per demarcare l’ambito applicativo della disposizione in esame.</w:t>
      </w:r>
      <w:r w:rsidR="0000614A">
        <w:rPr>
          <w:rFonts w:ascii="Bodoni MT" w:eastAsia="Times New Roman" w:hAnsi="Bodoni MT" w:cs="Times New Roman"/>
          <w:i/>
          <w:sz w:val="24"/>
          <w:szCs w:val="24"/>
          <w:lang w:eastAsia="it-IT"/>
        </w:rPr>
        <w:t xml:space="preserve"> Invero, l’impiego di termini dal valore semantico generale ed omnicomprensivo contenuti nell’espressione  “…..l’ammontare complessivo delle risorse </w:t>
      </w:r>
      <w:r w:rsidR="0000614A">
        <w:rPr>
          <w:rFonts w:ascii="Bodoni MT" w:eastAsia="Times New Roman" w:hAnsi="Bodoni MT" w:cs="Times New Roman"/>
          <w:i/>
          <w:sz w:val="24"/>
          <w:szCs w:val="24"/>
          <w:lang w:eastAsia="it-IT"/>
        </w:rPr>
        <w:lastRenderedPageBreak/>
        <w:t>destinate annualmente al trattamento accessorio del personale”  denota una evidente volontà di ricomprendere nella fattispecie normativa ogni genere di risorse funzionalmente destinate ad offrire copertura agli oneri accessori del personale</w:t>
      </w:r>
      <w:r w:rsidR="001671BD" w:rsidRPr="0000614A">
        <w:rPr>
          <w:rFonts w:ascii="Bodoni MT" w:eastAsia="Times New Roman" w:hAnsi="Bodoni MT" w:cs="Times New Roman"/>
          <w:i/>
          <w:sz w:val="24"/>
          <w:szCs w:val="24"/>
          <w:lang w:eastAsia="it-IT"/>
        </w:rPr>
        <w:t xml:space="preserve"> </w:t>
      </w:r>
      <w:r w:rsidR="00B15F83">
        <w:rPr>
          <w:rFonts w:ascii="Bodoni MT" w:eastAsia="Times New Roman" w:hAnsi="Bodoni MT" w:cs="Times New Roman"/>
          <w:i/>
          <w:sz w:val="24"/>
          <w:szCs w:val="24"/>
          <w:lang w:eastAsia="it-IT"/>
        </w:rPr>
        <w:t>senza alcuna considerazione per l’origine o la provenienza delle risorse se non sotto il profilo della presenza di un vincolo di destina</w:t>
      </w:r>
      <w:r w:rsidR="0000614A">
        <w:rPr>
          <w:rFonts w:ascii="Bodoni MT" w:eastAsia="Times New Roman" w:hAnsi="Bodoni MT" w:cs="Times New Roman"/>
          <w:i/>
          <w:sz w:val="24"/>
          <w:szCs w:val="24"/>
          <w:lang w:eastAsia="it-IT"/>
        </w:rPr>
        <w:t xml:space="preserve">zione giuridicamente rilevante.  </w:t>
      </w:r>
    </w:p>
    <w:p w14:paraId="4015C041" w14:textId="77777777" w:rsidR="00071FFF" w:rsidRPr="0000614A" w:rsidRDefault="0000614A" w:rsidP="0000614A">
      <w:pPr>
        <w:spacing w:after="0" w:line="360" w:lineRule="auto"/>
        <w:ind w:firstLine="709"/>
        <w:jc w:val="both"/>
        <w:rPr>
          <w:rFonts w:ascii="Bodoni MT" w:eastAsia="Times New Roman" w:hAnsi="Bodoni MT" w:cs="Times New Roman"/>
          <w:i/>
          <w:sz w:val="24"/>
          <w:szCs w:val="24"/>
          <w:lang w:eastAsia="it-IT"/>
        </w:rPr>
      </w:pPr>
      <w:r>
        <w:rPr>
          <w:rFonts w:ascii="Bodoni MT" w:eastAsia="Times New Roman" w:hAnsi="Bodoni MT" w:cs="Times New Roman"/>
          <w:i/>
          <w:sz w:val="24"/>
          <w:szCs w:val="24"/>
          <w:lang w:eastAsia="it-IT"/>
        </w:rPr>
        <w:t>In questo senso, occorre riconoscere che tanto le risorse del bilancio imputate al fondo, quanto le risorse direttamente stanziate in bilancio a copertura degli oneri relativi alle posizioni organizzative nei Comuni privi di qualifiche dirigenziali presentano le medesime caratteristiche funzionali di destinazione e sono idonee ad incrementare la spesa per il trattamento accessorio del personale in ragione del loro concreto utilizzo”.</w:t>
      </w:r>
    </w:p>
    <w:p w14:paraId="1D7D5D99" w14:textId="547541C8" w:rsidR="00071FFF" w:rsidRDefault="0000614A" w:rsidP="005B018B">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lastRenderedPageBreak/>
        <w:t>Alla luce di tali considerazioni</w:t>
      </w:r>
      <w:r w:rsidR="00071FFF">
        <w:rPr>
          <w:rFonts w:ascii="Bodoni MT" w:eastAsia="Times New Roman" w:hAnsi="Bodoni MT" w:cs="Times New Roman"/>
          <w:sz w:val="24"/>
          <w:szCs w:val="24"/>
          <w:lang w:eastAsia="it-IT"/>
        </w:rPr>
        <w:t>,</w:t>
      </w:r>
      <w:r>
        <w:rPr>
          <w:rFonts w:ascii="Bodoni MT" w:eastAsia="Times New Roman" w:hAnsi="Bodoni MT" w:cs="Times New Roman"/>
          <w:sz w:val="24"/>
          <w:szCs w:val="24"/>
          <w:lang w:eastAsia="it-IT"/>
        </w:rPr>
        <w:t xml:space="preserve"> </w:t>
      </w:r>
      <w:r w:rsidR="009D32F0">
        <w:rPr>
          <w:rFonts w:ascii="Bodoni MT" w:eastAsia="Times New Roman" w:hAnsi="Bodoni MT" w:cs="Times New Roman"/>
          <w:sz w:val="24"/>
          <w:szCs w:val="24"/>
          <w:lang w:eastAsia="it-IT"/>
        </w:rPr>
        <w:t xml:space="preserve">sul punto n. 1 di tale richiesta di parere </w:t>
      </w:r>
      <w:r>
        <w:rPr>
          <w:rFonts w:ascii="Bodoni MT" w:eastAsia="Times New Roman" w:hAnsi="Bodoni MT" w:cs="Times New Roman"/>
          <w:sz w:val="24"/>
          <w:szCs w:val="24"/>
          <w:lang w:eastAsia="it-IT"/>
        </w:rPr>
        <w:t>questa Sezione, ritiene che</w:t>
      </w:r>
      <w:r w:rsidR="00071FFF">
        <w:rPr>
          <w:rFonts w:ascii="Bodoni MT" w:eastAsia="Times New Roman" w:hAnsi="Bodoni MT" w:cs="Times New Roman"/>
          <w:sz w:val="24"/>
          <w:szCs w:val="24"/>
          <w:lang w:eastAsia="it-IT"/>
        </w:rPr>
        <w:t xml:space="preserve"> nella quantificazione del tetto di sp</w:t>
      </w:r>
      <w:r w:rsidR="00F56C13">
        <w:rPr>
          <w:rFonts w:ascii="Bodoni MT" w:eastAsia="Times New Roman" w:hAnsi="Bodoni MT" w:cs="Times New Roman"/>
          <w:sz w:val="24"/>
          <w:szCs w:val="24"/>
          <w:lang w:eastAsia="it-IT"/>
        </w:rPr>
        <w:t>esa</w:t>
      </w:r>
      <w:r w:rsidR="009D32F0">
        <w:rPr>
          <w:rFonts w:ascii="Bodoni MT" w:eastAsia="Times New Roman" w:hAnsi="Bodoni MT" w:cs="Times New Roman"/>
          <w:sz w:val="24"/>
          <w:szCs w:val="24"/>
          <w:lang w:eastAsia="it-IT"/>
        </w:rPr>
        <w:t xml:space="preserve"> rientri</w:t>
      </w:r>
      <w:r w:rsidR="00071FFF">
        <w:rPr>
          <w:rFonts w:ascii="Bodoni MT" w:eastAsia="Times New Roman" w:hAnsi="Bodoni MT" w:cs="Times New Roman"/>
          <w:sz w:val="24"/>
          <w:szCs w:val="24"/>
          <w:lang w:eastAsia="it-IT"/>
        </w:rPr>
        <w:t>no</w:t>
      </w:r>
      <w:r w:rsidR="009D32F0">
        <w:rPr>
          <w:rFonts w:ascii="Bodoni MT" w:eastAsia="Times New Roman" w:hAnsi="Bodoni MT" w:cs="Times New Roman"/>
          <w:sz w:val="24"/>
          <w:szCs w:val="24"/>
          <w:lang w:eastAsia="it-IT"/>
        </w:rPr>
        <w:t xml:space="preserve"> anche le somme stanziate</w:t>
      </w:r>
      <w:r w:rsidR="00F56C13">
        <w:rPr>
          <w:rFonts w:ascii="Bodoni MT" w:eastAsia="Times New Roman" w:hAnsi="Bodoni MT" w:cs="Times New Roman"/>
          <w:sz w:val="24"/>
          <w:szCs w:val="24"/>
          <w:lang w:eastAsia="it-IT"/>
        </w:rPr>
        <w:t xml:space="preserve"> in bilancio e destinate al trattamento accessorio del personale</w:t>
      </w:r>
      <w:r w:rsidR="009D32F0">
        <w:rPr>
          <w:rFonts w:ascii="Bodoni MT" w:eastAsia="Times New Roman" w:hAnsi="Bodoni MT" w:cs="Times New Roman"/>
          <w:sz w:val="24"/>
          <w:szCs w:val="24"/>
          <w:lang w:eastAsia="it-IT"/>
        </w:rPr>
        <w:t>, ancorchè finanziate</w:t>
      </w:r>
      <w:r w:rsidR="00071FFF">
        <w:rPr>
          <w:rFonts w:ascii="Bodoni MT" w:eastAsia="Times New Roman" w:hAnsi="Bodoni MT" w:cs="Times New Roman"/>
          <w:sz w:val="24"/>
          <w:szCs w:val="24"/>
          <w:lang w:eastAsia="it-IT"/>
        </w:rPr>
        <w:t xml:space="preserve"> con </w:t>
      </w:r>
      <w:r w:rsidR="009D32F0">
        <w:rPr>
          <w:rFonts w:ascii="Bodoni MT" w:eastAsia="Times New Roman" w:hAnsi="Bodoni MT" w:cs="Times New Roman"/>
          <w:sz w:val="24"/>
          <w:szCs w:val="24"/>
          <w:lang w:eastAsia="it-IT"/>
        </w:rPr>
        <w:t xml:space="preserve">risorse a carico del </w:t>
      </w:r>
      <w:r w:rsidR="0075335C">
        <w:rPr>
          <w:rFonts w:ascii="Bodoni MT" w:eastAsia="Times New Roman" w:hAnsi="Bodoni MT" w:cs="Times New Roman"/>
          <w:sz w:val="24"/>
          <w:szCs w:val="24"/>
          <w:lang w:eastAsia="it-IT"/>
        </w:rPr>
        <w:t xml:space="preserve">medesimo </w:t>
      </w:r>
      <w:r w:rsidR="009D32F0">
        <w:rPr>
          <w:rFonts w:ascii="Bodoni MT" w:eastAsia="Times New Roman" w:hAnsi="Bodoni MT" w:cs="Times New Roman"/>
          <w:sz w:val="24"/>
          <w:szCs w:val="24"/>
          <w:lang w:eastAsia="it-IT"/>
        </w:rPr>
        <w:t>bilancio dell’</w:t>
      </w:r>
      <w:r w:rsidR="0075335C">
        <w:rPr>
          <w:rFonts w:ascii="Bodoni MT" w:eastAsia="Times New Roman" w:hAnsi="Bodoni MT" w:cs="Times New Roman"/>
          <w:sz w:val="24"/>
          <w:szCs w:val="24"/>
          <w:lang w:eastAsia="it-IT"/>
        </w:rPr>
        <w:t>ente</w:t>
      </w:r>
      <w:r w:rsidR="00071FFF">
        <w:rPr>
          <w:rFonts w:ascii="Bodoni MT" w:eastAsia="Times New Roman" w:hAnsi="Bodoni MT" w:cs="Times New Roman"/>
          <w:sz w:val="24"/>
          <w:szCs w:val="24"/>
          <w:lang w:eastAsia="it-IT"/>
        </w:rPr>
        <w:t>.</w:t>
      </w:r>
    </w:p>
    <w:p w14:paraId="6D7C8435" w14:textId="3B5890A8" w:rsidR="00AA6883" w:rsidRDefault="00071FFF" w:rsidP="005B018B">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Analogamente,</w:t>
      </w:r>
      <w:r w:rsidR="006A5CE6">
        <w:rPr>
          <w:rFonts w:ascii="Bodoni MT" w:eastAsia="Times New Roman" w:hAnsi="Bodoni MT" w:cs="Times New Roman"/>
          <w:sz w:val="24"/>
          <w:szCs w:val="24"/>
          <w:lang w:eastAsia="it-IT"/>
        </w:rPr>
        <w:t xml:space="preserve"> e con riferimento al punto n. 2 della richiesta di parere, questa Sezione non ritiene rinvenire nel dettato delle disposizioni in esame un limite distinto tra il fondo delle risorse decentrate </w:t>
      </w:r>
      <w:r w:rsidR="00A52D21">
        <w:rPr>
          <w:rFonts w:ascii="Bodoni MT" w:eastAsia="Times New Roman" w:hAnsi="Bodoni MT" w:cs="Times New Roman"/>
          <w:sz w:val="24"/>
          <w:szCs w:val="24"/>
          <w:lang w:eastAsia="it-IT"/>
        </w:rPr>
        <w:t>e le poste contabili del bilancio dell’ente per l’indennità di posizione e risultato, limitandosi</w:t>
      </w:r>
      <w:r w:rsidR="00F56C13">
        <w:rPr>
          <w:rFonts w:ascii="Bodoni MT" w:eastAsia="Times New Roman" w:hAnsi="Bodoni MT" w:cs="Times New Roman"/>
          <w:sz w:val="24"/>
          <w:szCs w:val="24"/>
          <w:lang w:eastAsia="it-IT"/>
        </w:rPr>
        <w:t>,</w:t>
      </w:r>
      <w:r w:rsidR="00A52D21">
        <w:rPr>
          <w:rFonts w:ascii="Bodoni MT" w:eastAsia="Times New Roman" w:hAnsi="Bodoni MT" w:cs="Times New Roman"/>
          <w:sz w:val="24"/>
          <w:szCs w:val="24"/>
          <w:lang w:eastAsia="it-IT"/>
        </w:rPr>
        <w:t xml:space="preserve"> </w:t>
      </w:r>
      <w:r w:rsidR="00F56C13">
        <w:rPr>
          <w:rFonts w:ascii="Bodoni MT" w:eastAsia="Times New Roman" w:hAnsi="Bodoni MT" w:cs="Times New Roman"/>
          <w:sz w:val="24"/>
          <w:szCs w:val="24"/>
          <w:lang w:eastAsia="it-IT"/>
        </w:rPr>
        <w:t>la norma in esame, ne</w:t>
      </w:r>
      <w:r w:rsidR="00EF0353">
        <w:rPr>
          <w:rFonts w:ascii="Bodoni MT" w:eastAsia="Times New Roman" w:hAnsi="Bodoni MT" w:cs="Times New Roman"/>
          <w:sz w:val="24"/>
          <w:szCs w:val="24"/>
          <w:lang w:eastAsia="it-IT"/>
        </w:rPr>
        <w:t>l</w:t>
      </w:r>
      <w:r w:rsidR="00F56C13">
        <w:rPr>
          <w:rFonts w:ascii="Bodoni MT" w:eastAsia="Times New Roman" w:hAnsi="Bodoni MT" w:cs="Times New Roman"/>
          <w:sz w:val="24"/>
          <w:szCs w:val="24"/>
          <w:lang w:eastAsia="it-IT"/>
        </w:rPr>
        <w:t xml:space="preserve"> suo</w:t>
      </w:r>
      <w:r w:rsidR="00EF0353">
        <w:rPr>
          <w:rFonts w:ascii="Bodoni MT" w:eastAsia="Times New Roman" w:hAnsi="Bodoni MT" w:cs="Times New Roman"/>
          <w:sz w:val="24"/>
          <w:szCs w:val="24"/>
          <w:lang w:eastAsia="it-IT"/>
        </w:rPr>
        <w:t xml:space="preserve"> tenor</w:t>
      </w:r>
      <w:r w:rsidR="00F56C13">
        <w:rPr>
          <w:rFonts w:ascii="Bodoni MT" w:eastAsia="Times New Roman" w:hAnsi="Bodoni MT" w:cs="Times New Roman"/>
          <w:sz w:val="24"/>
          <w:szCs w:val="24"/>
          <w:lang w:eastAsia="it-IT"/>
        </w:rPr>
        <w:t>e letterale</w:t>
      </w:r>
      <w:r w:rsidR="00EF0353">
        <w:rPr>
          <w:rFonts w:ascii="Bodoni MT" w:eastAsia="Times New Roman" w:hAnsi="Bodoni MT" w:cs="Times New Roman"/>
          <w:sz w:val="24"/>
          <w:szCs w:val="24"/>
          <w:lang w:eastAsia="it-IT"/>
        </w:rPr>
        <w:t xml:space="preserve"> </w:t>
      </w:r>
      <w:r w:rsidR="00F56C13">
        <w:rPr>
          <w:rFonts w:ascii="Bodoni MT" w:eastAsia="Times New Roman" w:hAnsi="Bodoni MT" w:cs="Times New Roman"/>
          <w:sz w:val="24"/>
          <w:szCs w:val="24"/>
          <w:lang w:eastAsia="it-IT"/>
        </w:rPr>
        <w:t>ad una previsione</w:t>
      </w:r>
      <w:r w:rsidR="00A52D21">
        <w:rPr>
          <w:rFonts w:ascii="Bodoni MT" w:eastAsia="Times New Roman" w:hAnsi="Bodoni MT" w:cs="Times New Roman"/>
          <w:sz w:val="24"/>
          <w:szCs w:val="24"/>
          <w:lang w:eastAsia="it-IT"/>
        </w:rPr>
        <w:t xml:space="preserve"> di carattere generale sul contenimento della spesa</w:t>
      </w:r>
      <w:r w:rsidR="00EF0353">
        <w:rPr>
          <w:rFonts w:ascii="Bodoni MT" w:eastAsia="Times New Roman" w:hAnsi="Bodoni MT" w:cs="Times New Roman"/>
          <w:sz w:val="24"/>
          <w:szCs w:val="24"/>
          <w:lang w:eastAsia="it-IT"/>
        </w:rPr>
        <w:t xml:space="preserve"> per tali tipologie di risorse</w:t>
      </w:r>
      <w:r w:rsidR="00A52D21">
        <w:rPr>
          <w:rFonts w:ascii="Bodoni MT" w:eastAsia="Times New Roman" w:hAnsi="Bodoni MT" w:cs="Times New Roman"/>
          <w:sz w:val="24"/>
          <w:szCs w:val="24"/>
          <w:lang w:eastAsia="it-IT"/>
        </w:rPr>
        <w:t>.</w:t>
      </w:r>
    </w:p>
    <w:p w14:paraId="5CE8C5FC" w14:textId="1538C91F" w:rsidR="00AA6883" w:rsidRDefault="00F56C13" w:rsidP="005B018B">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lastRenderedPageBreak/>
        <w:t>La portata generale della formulazione normativa sui risparmi da conseguire, dalla pubblica amministrazione per tali tipologie di spese,</w:t>
      </w:r>
      <w:r w:rsidR="003001B2">
        <w:rPr>
          <w:rFonts w:ascii="Bodoni MT" w:eastAsia="Times New Roman" w:hAnsi="Bodoni MT" w:cs="Times New Roman"/>
          <w:sz w:val="24"/>
          <w:szCs w:val="24"/>
          <w:lang w:eastAsia="it-IT"/>
        </w:rPr>
        <w:t xml:space="preserve"> consente di poter affermare, in risposta al punto n. </w:t>
      </w:r>
      <w:r w:rsidR="00AA6883">
        <w:rPr>
          <w:rFonts w:ascii="Bodoni MT" w:eastAsia="Times New Roman" w:hAnsi="Bodoni MT" w:cs="Times New Roman"/>
          <w:sz w:val="24"/>
          <w:szCs w:val="24"/>
          <w:lang w:eastAsia="it-IT"/>
        </w:rPr>
        <w:t xml:space="preserve">3 del presente quesito </w:t>
      </w:r>
      <w:r w:rsidR="003001B2">
        <w:rPr>
          <w:rFonts w:ascii="Bodoni MT" w:eastAsia="Times New Roman" w:hAnsi="Bodoni MT" w:cs="Times New Roman"/>
          <w:sz w:val="24"/>
          <w:szCs w:val="24"/>
          <w:lang w:eastAsia="it-IT"/>
        </w:rPr>
        <w:t xml:space="preserve">che </w:t>
      </w:r>
      <w:r w:rsidR="00AA6883">
        <w:rPr>
          <w:rFonts w:ascii="Bodoni MT" w:eastAsia="Times New Roman" w:hAnsi="Bodoni MT" w:cs="Times New Roman"/>
          <w:sz w:val="24"/>
          <w:szCs w:val="24"/>
          <w:lang w:eastAsia="it-IT"/>
        </w:rPr>
        <w:t>il limite di spesa posto, per quegli enti che si “associano” mediante convenzione per l’utilizzo del personale, va calcolato sul complesso</w:t>
      </w:r>
      <w:r w:rsidR="00837B84">
        <w:rPr>
          <w:rFonts w:ascii="Bodoni MT" w:eastAsia="Times New Roman" w:hAnsi="Bodoni MT" w:cs="Times New Roman"/>
          <w:sz w:val="24"/>
          <w:szCs w:val="24"/>
          <w:lang w:eastAsia="it-IT"/>
        </w:rPr>
        <w:t xml:space="preserve"> delle spese destinate a</w:t>
      </w:r>
      <w:r w:rsidR="00AA6883">
        <w:rPr>
          <w:rFonts w:ascii="Bodoni MT" w:eastAsia="Times New Roman" w:hAnsi="Bodoni MT" w:cs="Times New Roman"/>
          <w:sz w:val="24"/>
          <w:szCs w:val="24"/>
          <w:lang w:eastAsia="it-IT"/>
        </w:rPr>
        <w:t>l salario accessorio</w:t>
      </w:r>
      <w:r w:rsidR="003001B2">
        <w:rPr>
          <w:rFonts w:ascii="Bodoni MT" w:eastAsia="Times New Roman" w:hAnsi="Bodoni MT" w:cs="Times New Roman"/>
          <w:sz w:val="24"/>
          <w:szCs w:val="24"/>
          <w:lang w:eastAsia="it-IT"/>
        </w:rPr>
        <w:t xml:space="preserve"> sostenuto dagli enti associati</w:t>
      </w:r>
      <w:r w:rsidR="00AA6883">
        <w:rPr>
          <w:rFonts w:ascii="Bodoni MT" w:eastAsia="Times New Roman" w:hAnsi="Bodoni MT" w:cs="Times New Roman"/>
          <w:sz w:val="24"/>
          <w:szCs w:val="24"/>
          <w:lang w:eastAsia="it-IT"/>
        </w:rPr>
        <w:t>.</w:t>
      </w:r>
    </w:p>
    <w:p w14:paraId="69004191" w14:textId="63849CB7" w:rsidR="0068494D" w:rsidRDefault="003001B2" w:rsidP="005B018B">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Pertanto, nel caso di specie</w:t>
      </w:r>
      <w:r w:rsidR="00AA6883">
        <w:rPr>
          <w:rFonts w:ascii="Bodoni MT" w:eastAsia="Times New Roman" w:hAnsi="Bodoni MT" w:cs="Times New Roman"/>
          <w:sz w:val="24"/>
          <w:szCs w:val="24"/>
          <w:lang w:eastAsia="it-IT"/>
        </w:rPr>
        <w:t>, l’ente “B”</w:t>
      </w:r>
      <w:r>
        <w:rPr>
          <w:rFonts w:ascii="Bodoni MT" w:eastAsia="Times New Roman" w:hAnsi="Bodoni MT" w:cs="Times New Roman"/>
          <w:sz w:val="24"/>
          <w:szCs w:val="24"/>
          <w:lang w:eastAsia="it-IT"/>
        </w:rPr>
        <w:t>,</w:t>
      </w:r>
      <w:r w:rsidR="00AA6883">
        <w:rPr>
          <w:rFonts w:ascii="Bodoni MT" w:eastAsia="Times New Roman" w:hAnsi="Bodoni MT" w:cs="Times New Roman"/>
          <w:sz w:val="24"/>
          <w:szCs w:val="24"/>
          <w:lang w:eastAsia="it-IT"/>
        </w:rPr>
        <w:t xml:space="preserve"> </w:t>
      </w:r>
      <w:r>
        <w:rPr>
          <w:rFonts w:ascii="Bodoni MT" w:eastAsia="Times New Roman" w:hAnsi="Bodoni MT" w:cs="Times New Roman"/>
          <w:sz w:val="24"/>
          <w:szCs w:val="24"/>
          <w:lang w:eastAsia="it-IT"/>
        </w:rPr>
        <w:t xml:space="preserve">per la definizione del proprio limite di spesa, </w:t>
      </w:r>
      <w:r w:rsidR="00AA6883">
        <w:rPr>
          <w:rFonts w:ascii="Bodoni MT" w:eastAsia="Times New Roman" w:hAnsi="Bodoni MT" w:cs="Times New Roman"/>
          <w:sz w:val="24"/>
          <w:szCs w:val="24"/>
          <w:lang w:eastAsia="it-IT"/>
        </w:rPr>
        <w:t>potrà senz’altro portare in diminuzione l’importo ri</w:t>
      </w:r>
      <w:r>
        <w:rPr>
          <w:rFonts w:ascii="Bodoni MT" w:eastAsia="Times New Roman" w:hAnsi="Bodoni MT" w:cs="Times New Roman"/>
          <w:sz w:val="24"/>
          <w:szCs w:val="24"/>
          <w:lang w:eastAsia="it-IT"/>
        </w:rPr>
        <w:t>mborsatogli dall’ente “A”</w:t>
      </w:r>
      <w:r w:rsidR="00AA6883">
        <w:rPr>
          <w:rFonts w:ascii="Bodoni MT" w:eastAsia="Times New Roman" w:hAnsi="Bodoni MT" w:cs="Times New Roman"/>
          <w:sz w:val="24"/>
          <w:szCs w:val="24"/>
          <w:lang w:eastAsia="it-IT"/>
        </w:rPr>
        <w:t>, ma per converso l’ente “A” non potrà neutralizzare tale somma ai fini del calcolo della pro</w:t>
      </w:r>
      <w:r>
        <w:rPr>
          <w:rFonts w:ascii="Bodoni MT" w:eastAsia="Times New Roman" w:hAnsi="Bodoni MT" w:cs="Times New Roman"/>
          <w:sz w:val="24"/>
          <w:szCs w:val="24"/>
          <w:lang w:eastAsia="it-IT"/>
        </w:rPr>
        <w:t>pria misura del limite di spesa. N</w:t>
      </w:r>
      <w:r w:rsidR="00AA6883">
        <w:rPr>
          <w:rFonts w:ascii="Bodoni MT" w:eastAsia="Times New Roman" w:hAnsi="Bodoni MT" w:cs="Times New Roman"/>
          <w:sz w:val="24"/>
          <w:szCs w:val="24"/>
          <w:lang w:eastAsia="it-IT"/>
        </w:rPr>
        <w:t>el caso contrario infatti si determinerebbe un aggiramento delle</w:t>
      </w:r>
      <w:r>
        <w:rPr>
          <w:rFonts w:ascii="Bodoni MT" w:eastAsia="Times New Roman" w:hAnsi="Bodoni MT" w:cs="Times New Roman"/>
          <w:sz w:val="24"/>
          <w:szCs w:val="24"/>
          <w:lang w:eastAsia="it-IT"/>
        </w:rPr>
        <w:t xml:space="preserve"> prescrizioni normative su tali</w:t>
      </w:r>
      <w:r w:rsidR="00AA6883">
        <w:rPr>
          <w:rFonts w:ascii="Bodoni MT" w:eastAsia="Times New Roman" w:hAnsi="Bodoni MT" w:cs="Times New Roman"/>
          <w:sz w:val="24"/>
          <w:szCs w:val="24"/>
          <w:lang w:eastAsia="it-IT"/>
        </w:rPr>
        <w:t xml:space="preserve"> vicoli di spesa.</w:t>
      </w:r>
      <w:r w:rsidR="002C4AC0">
        <w:rPr>
          <w:rFonts w:ascii="Bodoni MT" w:eastAsia="Times New Roman" w:hAnsi="Bodoni MT" w:cs="Times New Roman"/>
          <w:sz w:val="24"/>
          <w:szCs w:val="24"/>
          <w:lang w:eastAsia="it-IT"/>
        </w:rPr>
        <w:t xml:space="preserve"> Non convince, pertanto,</w:t>
      </w:r>
      <w:r w:rsidR="00AA6883">
        <w:rPr>
          <w:rFonts w:ascii="Bodoni MT" w:eastAsia="Times New Roman" w:hAnsi="Bodoni MT" w:cs="Times New Roman"/>
          <w:sz w:val="24"/>
          <w:szCs w:val="24"/>
          <w:lang w:eastAsia="it-IT"/>
        </w:rPr>
        <w:t xml:space="preserve"> la tesi più restrittiva che impedirebbe lo scomputo delle somme ricevute dall’ente “A” </w:t>
      </w:r>
      <w:r w:rsidR="00DF38C7">
        <w:rPr>
          <w:rFonts w:ascii="Bodoni MT" w:eastAsia="Times New Roman" w:hAnsi="Bodoni MT" w:cs="Times New Roman"/>
          <w:sz w:val="24"/>
          <w:szCs w:val="24"/>
          <w:lang w:eastAsia="it-IT"/>
        </w:rPr>
        <w:lastRenderedPageBreak/>
        <w:t>in quanto</w:t>
      </w:r>
      <w:r w:rsidR="00837B84">
        <w:rPr>
          <w:rFonts w:ascii="Bodoni MT" w:eastAsia="Times New Roman" w:hAnsi="Bodoni MT" w:cs="Times New Roman"/>
          <w:sz w:val="24"/>
          <w:szCs w:val="24"/>
          <w:lang w:eastAsia="it-IT"/>
        </w:rPr>
        <w:t xml:space="preserve">, </w:t>
      </w:r>
      <w:r w:rsidR="00DF38C7">
        <w:rPr>
          <w:rFonts w:ascii="Bodoni MT" w:eastAsia="Times New Roman" w:hAnsi="Bodoni MT" w:cs="Times New Roman"/>
          <w:sz w:val="24"/>
          <w:szCs w:val="24"/>
          <w:lang w:eastAsia="it-IT"/>
        </w:rPr>
        <w:t>la ratio della disposizione che inserisce nell’ordinamento dell’amministrazione pubblica la facoltà dell’utilizzo di risorse umane a cura di un’altra amministrazione pubblica è esattamente quell</w:t>
      </w:r>
      <w:r w:rsidR="00837B84">
        <w:rPr>
          <w:rFonts w:ascii="Bodoni MT" w:eastAsia="Times New Roman" w:hAnsi="Bodoni MT" w:cs="Times New Roman"/>
          <w:sz w:val="24"/>
          <w:szCs w:val="24"/>
          <w:lang w:eastAsia="it-IT"/>
        </w:rPr>
        <w:t>o di utilizzare risorse di altre</w:t>
      </w:r>
      <w:r w:rsidR="00DF38C7">
        <w:rPr>
          <w:rFonts w:ascii="Bodoni MT" w:eastAsia="Times New Roman" w:hAnsi="Bodoni MT" w:cs="Times New Roman"/>
          <w:sz w:val="24"/>
          <w:szCs w:val="24"/>
          <w:lang w:eastAsia="it-IT"/>
        </w:rPr>
        <w:t xml:space="preserve"> amministrazioni</w:t>
      </w:r>
      <w:r w:rsidR="00837B84">
        <w:rPr>
          <w:rFonts w:ascii="Bodoni MT" w:eastAsia="Times New Roman" w:hAnsi="Bodoni MT" w:cs="Times New Roman"/>
          <w:sz w:val="24"/>
          <w:szCs w:val="24"/>
          <w:lang w:eastAsia="it-IT"/>
        </w:rPr>
        <w:t xml:space="preserve"> pubbliche</w:t>
      </w:r>
      <w:r w:rsidR="00DF38C7">
        <w:rPr>
          <w:rFonts w:ascii="Bodoni MT" w:eastAsia="Times New Roman" w:hAnsi="Bodoni MT" w:cs="Times New Roman"/>
          <w:sz w:val="24"/>
          <w:szCs w:val="24"/>
          <w:lang w:eastAsia="it-IT"/>
        </w:rPr>
        <w:t xml:space="preserve"> allo scopo di razionaliz</w:t>
      </w:r>
      <w:r w:rsidR="00837B84">
        <w:rPr>
          <w:rFonts w:ascii="Bodoni MT" w:eastAsia="Times New Roman" w:hAnsi="Bodoni MT" w:cs="Times New Roman"/>
          <w:sz w:val="24"/>
          <w:szCs w:val="24"/>
          <w:lang w:eastAsia="it-IT"/>
        </w:rPr>
        <w:t>zare ed ottimizzare l’impiego delle risorse collocate n</w:t>
      </w:r>
      <w:r w:rsidR="00DF38C7">
        <w:rPr>
          <w:rFonts w:ascii="Bodoni MT" w:eastAsia="Times New Roman" w:hAnsi="Bodoni MT" w:cs="Times New Roman"/>
          <w:sz w:val="24"/>
          <w:szCs w:val="24"/>
          <w:lang w:eastAsia="it-IT"/>
        </w:rPr>
        <w:t>el</w:t>
      </w:r>
      <w:r w:rsidR="00837B84">
        <w:rPr>
          <w:rFonts w:ascii="Bodoni MT" w:eastAsia="Times New Roman" w:hAnsi="Bodoni MT" w:cs="Times New Roman"/>
          <w:sz w:val="24"/>
          <w:szCs w:val="24"/>
          <w:lang w:eastAsia="it-IT"/>
        </w:rPr>
        <w:t xml:space="preserve"> perimetro della p</w:t>
      </w:r>
      <w:r w:rsidR="00DF38C7">
        <w:rPr>
          <w:rFonts w:ascii="Bodoni MT" w:eastAsia="Times New Roman" w:hAnsi="Bodoni MT" w:cs="Times New Roman"/>
          <w:sz w:val="24"/>
          <w:szCs w:val="24"/>
          <w:lang w:eastAsia="it-IT"/>
        </w:rPr>
        <w:t>ubblica</w:t>
      </w:r>
      <w:r w:rsidR="00837B84">
        <w:rPr>
          <w:rFonts w:ascii="Bodoni MT" w:eastAsia="Times New Roman" w:hAnsi="Bodoni MT" w:cs="Times New Roman"/>
          <w:sz w:val="24"/>
          <w:szCs w:val="24"/>
          <w:lang w:eastAsia="it-IT"/>
        </w:rPr>
        <w:t xml:space="preserve"> amministrazione</w:t>
      </w:r>
      <w:r w:rsidR="00DF38C7">
        <w:rPr>
          <w:rFonts w:ascii="Bodoni MT" w:eastAsia="Times New Roman" w:hAnsi="Bodoni MT" w:cs="Times New Roman"/>
          <w:sz w:val="24"/>
          <w:szCs w:val="24"/>
          <w:lang w:eastAsia="it-IT"/>
        </w:rPr>
        <w:t>.</w:t>
      </w:r>
      <w:r w:rsidR="00071FFF">
        <w:rPr>
          <w:rFonts w:ascii="Bodoni MT" w:eastAsia="Times New Roman" w:hAnsi="Bodoni MT" w:cs="Times New Roman"/>
          <w:sz w:val="24"/>
          <w:szCs w:val="24"/>
          <w:lang w:eastAsia="it-IT"/>
        </w:rPr>
        <w:t xml:space="preserve">  </w:t>
      </w:r>
    </w:p>
    <w:p w14:paraId="24E74055" w14:textId="44BF3A93" w:rsidR="002C4AC0" w:rsidRDefault="00966540" w:rsidP="000D3623">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In merito alla portata dei termini di riferimento tra il criterio della spesa effettivamente sostenuta e la spesa annualizzata, </w:t>
      </w:r>
      <w:r w:rsidR="003001B2">
        <w:rPr>
          <w:rFonts w:ascii="Bodoni MT" w:eastAsia="Times New Roman" w:hAnsi="Bodoni MT" w:cs="Times New Roman"/>
          <w:sz w:val="24"/>
          <w:szCs w:val="24"/>
          <w:lang w:eastAsia="it-IT"/>
        </w:rPr>
        <w:t>di cui al punto n. 4 dell</w:t>
      </w:r>
      <w:r w:rsidR="002C4AC0">
        <w:rPr>
          <w:rFonts w:ascii="Bodoni MT" w:eastAsia="Times New Roman" w:hAnsi="Bodoni MT" w:cs="Times New Roman"/>
          <w:sz w:val="24"/>
          <w:szCs w:val="24"/>
          <w:lang w:eastAsia="it-IT"/>
        </w:rPr>
        <w:t xml:space="preserve">a presente richiesta di parere, è opportuno sinteticamente richiamare l’interpretazione che la Sezione delle autonomie ha fornito in merito alle disposizioni vincolistiche in materia di spesa del personale, anche alla luce dell’evoluzione ordinamentale intervenuta per effetto del </w:t>
      </w:r>
      <w:r w:rsidR="002C4AC0">
        <w:rPr>
          <w:rFonts w:ascii="Bodoni MT" w:eastAsia="Times New Roman" w:hAnsi="Bodoni MT" w:cs="Times New Roman"/>
          <w:sz w:val="24"/>
          <w:szCs w:val="24"/>
          <w:lang w:eastAsia="it-IT"/>
        </w:rPr>
        <w:lastRenderedPageBreak/>
        <w:t>d.lgs. 23 giugno 2011 n. 188, recante la novella legislativa sull’armonizzazione dei sistemi contabili e degli schemi di bilancio delle Regioni, degli enti locali e dei loro organismi (Ssez. autonomie n. 16 del 2 maggio 2016).</w:t>
      </w:r>
    </w:p>
    <w:p w14:paraId="21A6DBD4" w14:textId="13CF5D68" w:rsidR="002C4AC0" w:rsidRPr="00344B7F" w:rsidRDefault="00344B7F" w:rsidP="000D3623">
      <w:pPr>
        <w:spacing w:after="0" w:line="360" w:lineRule="auto"/>
        <w:ind w:firstLine="709"/>
        <w:jc w:val="both"/>
        <w:rPr>
          <w:rFonts w:ascii="Bodoni MT" w:eastAsia="Times New Roman" w:hAnsi="Bodoni MT" w:cs="Times New Roman"/>
          <w:i/>
          <w:sz w:val="24"/>
          <w:szCs w:val="24"/>
          <w:lang w:eastAsia="it-IT"/>
        </w:rPr>
      </w:pPr>
      <w:r>
        <w:rPr>
          <w:rFonts w:ascii="Bodoni MT" w:eastAsia="Times New Roman" w:hAnsi="Bodoni MT" w:cs="Times New Roman"/>
          <w:sz w:val="24"/>
          <w:szCs w:val="24"/>
          <w:lang w:eastAsia="it-IT"/>
        </w:rPr>
        <w:t>La Sezione delle autonomie già nel 2014 con la deliberazione n. 25, richiamata dalla deliberazione n. 27 del 2015 della medesima Sezione, aveva enunciato il seguente principio di diritto :”</w:t>
      </w:r>
      <w:r>
        <w:rPr>
          <w:rFonts w:ascii="Bodoni MT" w:eastAsia="Times New Roman" w:hAnsi="Bodoni MT" w:cs="Times New Roman"/>
          <w:i/>
          <w:sz w:val="24"/>
          <w:szCs w:val="24"/>
          <w:lang w:eastAsia="it-IT"/>
        </w:rPr>
        <w:t xml:space="preserve">A seguito delle novità introdotte dal nuovo art. 1, comma 557-quater, della legge n. 296/2006, il contenimento della spesa di personale va assicurato rispetto al valore medio del triennio 2011/2013, prendendo in considerazione la spesa effettivamente sostenuta in tale periodo, senza cioè, alcuna possibilità di ricorso a conteggi virtuali. Nel delineato contesto, le eventuali oscillazioni di spesa tra un’annualità e l’altra, anche se </w:t>
      </w:r>
      <w:r>
        <w:rPr>
          <w:rFonts w:ascii="Bodoni MT" w:eastAsia="Times New Roman" w:hAnsi="Bodoni MT" w:cs="Times New Roman"/>
          <w:i/>
          <w:sz w:val="24"/>
          <w:szCs w:val="24"/>
          <w:lang w:eastAsia="it-IT"/>
        </w:rPr>
        <w:lastRenderedPageBreak/>
        <w:t>causate da contingenze e da fattori non controllabili dall’ente, trovano fisiologica compensazione nel valore medio pluriennale e nell’ampliamento della base temporale di riferimento”</w:t>
      </w:r>
    </w:p>
    <w:p w14:paraId="120A28BF" w14:textId="05891CCE" w:rsidR="002C4AC0" w:rsidRDefault="002B6027" w:rsidP="000D3623">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Pertanto, il criterio di riferimento della spesa effettivamente sostenuta </w:t>
      </w:r>
      <w:r w:rsidR="001C4819">
        <w:rPr>
          <w:rFonts w:ascii="Bodoni MT" w:eastAsia="Times New Roman" w:hAnsi="Bodoni MT" w:cs="Times New Roman"/>
          <w:sz w:val="24"/>
          <w:szCs w:val="24"/>
          <w:lang w:eastAsia="it-IT"/>
        </w:rPr>
        <w:t>è - per la disposizione normativa di carattere generale qui richiamata all’art. 1, comma 557-quater della legge n. 296/2013 -, quella del valore medio del triennio 2011/2013, senza alcuna possibilità di ricorso a conteggi virtuali, come confermato nella citata deliberazione n. 16/2016 della Sezione autonomie che sul punto pronuncia il seguente principio di diritto :”</w:t>
      </w:r>
      <w:r w:rsidR="001C4819">
        <w:rPr>
          <w:rFonts w:ascii="Bodoni MT" w:eastAsia="Times New Roman" w:hAnsi="Bodoni MT" w:cs="Times New Roman"/>
          <w:i/>
          <w:sz w:val="24"/>
          <w:szCs w:val="24"/>
          <w:lang w:eastAsia="it-IT"/>
        </w:rPr>
        <w:t xml:space="preserve">Secondo la vigente disciplina in materia di contenimento della spesa del personale permane, a carico egli enti territoriali, l’obbligo di riduzione di cui all’art. 1, </w:t>
      </w:r>
      <w:r w:rsidR="001C4819">
        <w:rPr>
          <w:rFonts w:ascii="Bodoni MT" w:eastAsia="Times New Roman" w:hAnsi="Bodoni MT" w:cs="Times New Roman"/>
          <w:i/>
          <w:sz w:val="24"/>
          <w:szCs w:val="24"/>
          <w:lang w:eastAsia="it-IT"/>
        </w:rPr>
        <w:lastRenderedPageBreak/>
        <w:t>comma 557, l. n. 296/2006, secondo il parametro individuato dal comma 557-quater, da intendere in senso statico, con riferimento al triennio 2011-2013.”</w:t>
      </w:r>
    </w:p>
    <w:p w14:paraId="3354AF71" w14:textId="04152A07" w:rsidR="003F2D84" w:rsidRPr="00EC1339" w:rsidRDefault="00255FD0" w:rsidP="00731096">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La norma qui richiamata dalla legge n. 124/2015 che prevede che “</w:t>
      </w:r>
      <w:r>
        <w:rPr>
          <w:rFonts w:ascii="Bodoni MT" w:eastAsia="Times New Roman" w:hAnsi="Bodoni MT" w:cs="Times New Roman"/>
          <w:i/>
          <w:sz w:val="24"/>
          <w:szCs w:val="24"/>
          <w:lang w:eastAsia="it-IT"/>
        </w:rPr>
        <w:t>a decorrere dal primo gennaio 2016 l’ammontare complessivo delle risorse destinate annualmente al trattamento accessorio del personale, anche di livello dirigenziale, di ciascuna delle amministrazioni pubbliche di cui all’art. 1, comma 2, d. lgs 165/2001 e ss.mm, non può superare il corrispondente importo determinato per l’anno 2015, ed è, comunque automaticamente ridotto in misura proporzionale alla riduzione del personale in servizio, tenendo conto del personale assumibile ai sensi della normativa vigente”</w:t>
      </w:r>
      <w:r>
        <w:rPr>
          <w:rFonts w:ascii="Bodoni MT" w:eastAsia="Times New Roman" w:hAnsi="Bodoni MT" w:cs="Times New Roman"/>
          <w:sz w:val="24"/>
          <w:szCs w:val="24"/>
          <w:lang w:eastAsia="it-IT"/>
        </w:rPr>
        <w:t xml:space="preserve">, ad avviso di </w:t>
      </w:r>
      <w:r w:rsidR="00731096">
        <w:rPr>
          <w:rFonts w:ascii="Bodoni MT" w:eastAsia="Times New Roman" w:hAnsi="Bodoni MT" w:cs="Times New Roman"/>
          <w:sz w:val="24"/>
          <w:szCs w:val="24"/>
          <w:lang w:eastAsia="it-IT"/>
        </w:rPr>
        <w:t>questa Sezione va interpretata nel senso che il limite fissato dalla spesa 2015, se correttamente calcolato nel rispetto del citato 557-quater, è un limite statico, modificabile,</w:t>
      </w:r>
      <w:r w:rsidR="00213294">
        <w:rPr>
          <w:rFonts w:ascii="Bodoni MT" w:eastAsia="Times New Roman" w:hAnsi="Bodoni MT" w:cs="Times New Roman"/>
          <w:sz w:val="24"/>
          <w:szCs w:val="24"/>
          <w:lang w:eastAsia="it-IT"/>
        </w:rPr>
        <w:t xml:space="preserve"> esclusivamente</w:t>
      </w:r>
      <w:r w:rsidR="00731096">
        <w:rPr>
          <w:rFonts w:ascii="Bodoni MT" w:eastAsia="Times New Roman" w:hAnsi="Bodoni MT" w:cs="Times New Roman"/>
          <w:sz w:val="24"/>
          <w:szCs w:val="24"/>
          <w:lang w:eastAsia="it-IT"/>
        </w:rPr>
        <w:t xml:space="preserve"> per </w:t>
      </w:r>
      <w:r w:rsidR="00731096">
        <w:rPr>
          <w:rFonts w:ascii="Bodoni MT" w:eastAsia="Times New Roman" w:hAnsi="Bodoni MT" w:cs="Times New Roman"/>
          <w:sz w:val="24"/>
          <w:szCs w:val="24"/>
          <w:lang w:eastAsia="it-IT"/>
        </w:rPr>
        <w:lastRenderedPageBreak/>
        <w:t>le spes</w:t>
      </w:r>
      <w:r w:rsidR="00213294">
        <w:rPr>
          <w:rFonts w:ascii="Bodoni MT" w:eastAsia="Times New Roman" w:hAnsi="Bodoni MT" w:cs="Times New Roman"/>
          <w:sz w:val="24"/>
          <w:szCs w:val="24"/>
          <w:lang w:eastAsia="it-IT"/>
        </w:rPr>
        <w:t>e</w:t>
      </w:r>
      <w:r w:rsidR="00731096">
        <w:rPr>
          <w:rFonts w:ascii="Bodoni MT" w:eastAsia="Times New Roman" w:hAnsi="Bodoni MT" w:cs="Times New Roman"/>
          <w:sz w:val="24"/>
          <w:szCs w:val="24"/>
          <w:lang w:eastAsia="it-IT"/>
        </w:rPr>
        <w:t xml:space="preserve"> afferent</w:t>
      </w:r>
      <w:r w:rsidR="00213294">
        <w:rPr>
          <w:rFonts w:ascii="Bodoni MT" w:eastAsia="Times New Roman" w:hAnsi="Bodoni MT" w:cs="Times New Roman"/>
          <w:sz w:val="24"/>
          <w:szCs w:val="24"/>
          <w:lang w:eastAsia="it-IT"/>
        </w:rPr>
        <w:t>i</w:t>
      </w:r>
      <w:r w:rsidR="00731096">
        <w:rPr>
          <w:rFonts w:ascii="Bodoni MT" w:eastAsia="Times New Roman" w:hAnsi="Bodoni MT" w:cs="Times New Roman"/>
          <w:sz w:val="24"/>
          <w:szCs w:val="24"/>
          <w:lang w:eastAsia="it-IT"/>
        </w:rPr>
        <w:t xml:space="preserve"> il trattamento accessorio</w:t>
      </w:r>
      <w:r w:rsidR="00213294">
        <w:rPr>
          <w:rFonts w:ascii="Bodoni MT" w:eastAsia="Times New Roman" w:hAnsi="Bodoni MT" w:cs="Times New Roman"/>
          <w:sz w:val="24"/>
          <w:szCs w:val="24"/>
          <w:lang w:eastAsia="it-IT"/>
        </w:rPr>
        <w:t xml:space="preserve"> </w:t>
      </w:r>
      <w:r w:rsidR="00731096">
        <w:rPr>
          <w:rFonts w:ascii="Bodoni MT" w:eastAsia="Times New Roman" w:hAnsi="Bodoni MT" w:cs="Times New Roman"/>
          <w:sz w:val="24"/>
          <w:szCs w:val="24"/>
          <w:lang w:eastAsia="it-IT"/>
        </w:rPr>
        <w:t>del personale globalmente inteso</w:t>
      </w:r>
      <w:r w:rsidR="00213294">
        <w:rPr>
          <w:rFonts w:ascii="Bodoni MT" w:eastAsia="Times New Roman" w:hAnsi="Bodoni MT" w:cs="Times New Roman"/>
          <w:sz w:val="24"/>
          <w:szCs w:val="24"/>
          <w:lang w:eastAsia="it-IT"/>
        </w:rPr>
        <w:t>,</w:t>
      </w:r>
      <w:r w:rsidR="00731096">
        <w:rPr>
          <w:rFonts w:ascii="Bodoni MT" w:eastAsia="Times New Roman" w:hAnsi="Bodoni MT" w:cs="Times New Roman"/>
          <w:sz w:val="24"/>
          <w:szCs w:val="24"/>
          <w:lang w:eastAsia="it-IT"/>
        </w:rPr>
        <w:t xml:space="preserve"> in misura proporzionale additiva o diminutiva</w:t>
      </w:r>
      <w:r w:rsidR="00213294">
        <w:rPr>
          <w:rFonts w:ascii="Bodoni MT" w:eastAsia="Times New Roman" w:hAnsi="Bodoni MT" w:cs="Times New Roman"/>
          <w:sz w:val="24"/>
          <w:szCs w:val="24"/>
          <w:lang w:eastAsia="it-IT"/>
        </w:rPr>
        <w:t xml:space="preserve"> </w:t>
      </w:r>
      <w:r w:rsidR="00731096">
        <w:rPr>
          <w:rFonts w:ascii="Bodoni MT" w:eastAsia="Times New Roman" w:hAnsi="Bodoni MT" w:cs="Times New Roman"/>
          <w:sz w:val="24"/>
          <w:szCs w:val="24"/>
          <w:lang w:eastAsia="it-IT"/>
        </w:rPr>
        <w:t xml:space="preserve"> in relazione alla capacità assunzionale o alle riduzioni di personale in servizio dell’ente in questione.</w:t>
      </w:r>
    </w:p>
    <w:p w14:paraId="52DB60FC" w14:textId="77777777" w:rsidR="00A85067" w:rsidRPr="0001097C" w:rsidRDefault="00A85067" w:rsidP="00A85067">
      <w:pPr>
        <w:spacing w:before="240" w:after="240" w:line="360" w:lineRule="auto"/>
        <w:jc w:val="center"/>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 *</w:t>
      </w:r>
    </w:p>
    <w:p w14:paraId="452482B5" w14:textId="613CFBD7" w:rsidR="00A85067" w:rsidRPr="0001097C" w:rsidRDefault="00A85067" w:rsidP="00A85067">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Nelle sopra esposte</w:t>
      </w:r>
      <w:r>
        <w:rPr>
          <w:rFonts w:ascii="Bodoni MT" w:eastAsia="Times New Roman" w:hAnsi="Bodoni MT" w:cs="Times New Roman"/>
          <w:sz w:val="24"/>
          <w:szCs w:val="24"/>
          <w:lang w:eastAsia="it-IT"/>
        </w:rPr>
        <w:t xml:space="preserve"> considerazioni è il deliberato</w:t>
      </w:r>
      <w:r w:rsidRPr="0001097C">
        <w:rPr>
          <w:rFonts w:ascii="Bodoni MT" w:eastAsia="Times New Roman" w:hAnsi="Bodoni MT" w:cs="Times New Roman"/>
          <w:sz w:val="24"/>
          <w:szCs w:val="24"/>
          <w:lang w:eastAsia="it-IT"/>
        </w:rPr>
        <w:t xml:space="preserve"> della Corte dei conti – Sezione regionale di controllo per la Toscana - in relazione alla richiesta formulata dal </w:t>
      </w:r>
      <w:r w:rsidR="00837B84">
        <w:rPr>
          <w:rFonts w:ascii="Bodoni MT" w:eastAsia="Times New Roman" w:hAnsi="Bodoni MT" w:cs="Times New Roman"/>
          <w:sz w:val="24"/>
          <w:szCs w:val="24"/>
          <w:lang w:eastAsia="it-IT"/>
        </w:rPr>
        <w:t xml:space="preserve">comune di Larciano, trasmessa in data 30 novembre 2016, prot. 2863, inoltrata a mezzo posta certificata. </w:t>
      </w:r>
    </w:p>
    <w:p w14:paraId="24B72775" w14:textId="100E78BB" w:rsidR="00A85067" w:rsidRPr="0001097C" w:rsidRDefault="00A85067" w:rsidP="00A85067">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lastRenderedPageBreak/>
        <w:t xml:space="preserve">Copia della presente deliberazione è trasmessa </w:t>
      </w:r>
      <w:r w:rsidRPr="005B5F76">
        <w:rPr>
          <w:rFonts w:ascii="Bodoni MT" w:eastAsia="Times New Roman" w:hAnsi="Bodoni MT" w:cs="Times New Roman"/>
          <w:sz w:val="24"/>
          <w:szCs w:val="24"/>
          <w:lang w:eastAsia="it-IT"/>
        </w:rPr>
        <w:t xml:space="preserve">Presidente del Consiglio delle autonomie locali della Toscana </w:t>
      </w:r>
      <w:r>
        <w:rPr>
          <w:rFonts w:ascii="Bodoni MT" w:eastAsia="Times New Roman" w:hAnsi="Bodoni MT" w:cs="Times New Roman"/>
          <w:sz w:val="24"/>
          <w:szCs w:val="24"/>
          <w:lang w:eastAsia="it-IT"/>
        </w:rPr>
        <w:t xml:space="preserve">e, per conoscenza, </w:t>
      </w:r>
      <w:r w:rsidRPr="00404B5E">
        <w:rPr>
          <w:rFonts w:ascii="Bodoni MT" w:eastAsia="Times New Roman" w:hAnsi="Bodoni MT" w:cs="Times New Roman"/>
          <w:sz w:val="24"/>
          <w:szCs w:val="24"/>
          <w:lang w:eastAsia="it-IT"/>
        </w:rPr>
        <w:t xml:space="preserve">al Sindaco del comune di </w:t>
      </w:r>
      <w:r w:rsidR="00837B84">
        <w:rPr>
          <w:rFonts w:ascii="Bodoni MT" w:eastAsia="Times New Roman" w:hAnsi="Bodoni MT" w:cs="Times New Roman"/>
          <w:sz w:val="24"/>
          <w:szCs w:val="24"/>
          <w:lang w:eastAsia="it-IT"/>
        </w:rPr>
        <w:t>Larcian</w:t>
      </w:r>
      <w:r>
        <w:rPr>
          <w:rFonts w:ascii="Bodoni MT" w:eastAsia="Times New Roman" w:hAnsi="Bodoni MT" w:cs="Times New Roman"/>
          <w:sz w:val="24"/>
          <w:szCs w:val="24"/>
          <w:lang w:eastAsia="it-IT"/>
        </w:rPr>
        <w:t>o</w:t>
      </w:r>
      <w:r w:rsidRPr="00EC7D66">
        <w:rPr>
          <w:rFonts w:ascii="Bodoni MT" w:eastAsia="Times New Roman" w:hAnsi="Bodoni MT" w:cs="Times New Roman"/>
          <w:sz w:val="24"/>
          <w:szCs w:val="24"/>
          <w:lang w:eastAsia="it-IT"/>
        </w:rPr>
        <w:t xml:space="preserve"> </w:t>
      </w:r>
      <w:r w:rsidRPr="00404B5E">
        <w:rPr>
          <w:rFonts w:ascii="Bodoni MT" w:eastAsia="Times New Roman" w:hAnsi="Bodoni MT" w:cs="Times New Roman"/>
          <w:sz w:val="24"/>
          <w:szCs w:val="24"/>
          <w:lang w:eastAsia="it-IT"/>
        </w:rPr>
        <w:t>e</w:t>
      </w:r>
      <w:r>
        <w:rPr>
          <w:rFonts w:ascii="Bodoni MT" w:eastAsia="Times New Roman" w:hAnsi="Bodoni MT" w:cs="Times New Roman"/>
          <w:sz w:val="24"/>
          <w:szCs w:val="24"/>
          <w:lang w:eastAsia="it-IT"/>
        </w:rPr>
        <w:t>d</w:t>
      </w:r>
      <w:r w:rsidRPr="00404B5E">
        <w:rPr>
          <w:rFonts w:ascii="Bodoni MT" w:eastAsia="Times New Roman" w:hAnsi="Bodoni MT" w:cs="Times New Roman"/>
          <w:sz w:val="24"/>
          <w:szCs w:val="24"/>
          <w:lang w:eastAsia="it-IT"/>
        </w:rPr>
        <w:t xml:space="preserve"> al Presidente del relativo Consiglio</w:t>
      </w:r>
      <w:r w:rsidRPr="0001097C">
        <w:rPr>
          <w:rFonts w:ascii="Bodoni MT" w:eastAsia="Times New Roman" w:hAnsi="Bodoni MT" w:cs="Times New Roman"/>
          <w:sz w:val="24"/>
          <w:szCs w:val="24"/>
          <w:lang w:eastAsia="it-IT"/>
        </w:rPr>
        <w:t>.</w:t>
      </w:r>
    </w:p>
    <w:p w14:paraId="3E0D3CB9" w14:textId="7FF9DB2A" w:rsidR="00A85067" w:rsidRDefault="00A85067" w:rsidP="007B747A">
      <w:pPr>
        <w:spacing w:after="0" w:line="360" w:lineRule="auto"/>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Firenze, </w:t>
      </w:r>
      <w:r w:rsidR="007B747A">
        <w:rPr>
          <w:rFonts w:ascii="Bodoni MT" w:eastAsia="Times New Roman" w:hAnsi="Bodoni MT" w:cs="Times New Roman"/>
          <w:sz w:val="24"/>
          <w:szCs w:val="24"/>
          <w:lang w:eastAsia="it-IT"/>
        </w:rPr>
        <w:t>15 febbraio 2017</w:t>
      </w:r>
    </w:p>
    <w:p w14:paraId="1CDF4C04" w14:textId="77777777" w:rsidR="00A85067" w:rsidRPr="0001097C" w:rsidRDefault="00A85067" w:rsidP="00A85067">
      <w:pPr>
        <w:spacing w:after="0" w:line="240" w:lineRule="auto"/>
        <w:ind w:firstLine="142"/>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  L’estensore</w:t>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t xml:space="preserve">      </w:t>
      </w:r>
      <w:r w:rsidRPr="0001097C">
        <w:rPr>
          <w:rFonts w:ascii="Bodoni MT" w:eastAsia="Times New Roman" w:hAnsi="Bodoni MT" w:cs="Times New Roman"/>
          <w:sz w:val="24"/>
          <w:szCs w:val="24"/>
          <w:lang w:eastAsia="it-IT"/>
        </w:rPr>
        <w:t>Il presidente</w:t>
      </w:r>
    </w:p>
    <w:p w14:paraId="3D7401E1" w14:textId="1574EB8A" w:rsidR="00A85067" w:rsidRPr="0001097C" w:rsidRDefault="002B047F" w:rsidP="00A85067">
      <w:pPr>
        <w:spacing w:after="0" w:line="240" w:lineRule="auto"/>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   </w:t>
      </w:r>
      <w:r w:rsidR="006F07DF">
        <w:rPr>
          <w:rFonts w:ascii="Bodoni MT" w:eastAsia="Times New Roman" w:hAnsi="Bodoni MT" w:cs="Times New Roman"/>
          <w:sz w:val="24"/>
          <w:szCs w:val="24"/>
          <w:lang w:eastAsia="it-IT"/>
        </w:rPr>
        <w:t>f.to</w:t>
      </w:r>
      <w:r>
        <w:rPr>
          <w:rFonts w:ascii="Bodoni MT" w:eastAsia="Times New Roman" w:hAnsi="Bodoni MT" w:cs="Times New Roman"/>
          <w:sz w:val="24"/>
          <w:szCs w:val="24"/>
          <w:lang w:eastAsia="it-IT"/>
        </w:rPr>
        <w:t xml:space="preserve"> Mauro Nori</w:t>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sidR="00A85067">
        <w:rPr>
          <w:rFonts w:ascii="Bodoni MT" w:eastAsia="Times New Roman" w:hAnsi="Bodoni MT" w:cs="Times New Roman"/>
          <w:sz w:val="24"/>
          <w:szCs w:val="24"/>
          <w:lang w:eastAsia="it-IT"/>
        </w:rPr>
        <w:tab/>
      </w:r>
      <w:r w:rsidR="00A85067">
        <w:rPr>
          <w:rFonts w:ascii="Bodoni MT" w:eastAsia="Times New Roman" w:hAnsi="Bodoni MT" w:cs="Times New Roman"/>
          <w:sz w:val="24"/>
          <w:szCs w:val="24"/>
          <w:lang w:eastAsia="it-IT"/>
        </w:rPr>
        <w:tab/>
        <w:t xml:space="preserve">                          </w:t>
      </w:r>
      <w:r w:rsidR="006F07DF">
        <w:rPr>
          <w:rFonts w:ascii="Bodoni MT" w:eastAsia="Times New Roman" w:hAnsi="Bodoni MT" w:cs="Times New Roman"/>
          <w:sz w:val="24"/>
          <w:szCs w:val="24"/>
          <w:lang w:eastAsia="it-IT"/>
        </w:rPr>
        <w:t xml:space="preserve">         f.to</w:t>
      </w:r>
      <w:r>
        <w:rPr>
          <w:rFonts w:ascii="Bodoni MT" w:eastAsia="Times New Roman" w:hAnsi="Bodoni MT" w:cs="Times New Roman"/>
          <w:sz w:val="24"/>
          <w:szCs w:val="24"/>
          <w:lang w:eastAsia="it-IT"/>
        </w:rPr>
        <w:t xml:space="preserve"> </w:t>
      </w:r>
      <w:r w:rsidR="00A85067" w:rsidRPr="0001097C">
        <w:rPr>
          <w:rFonts w:ascii="Bodoni MT" w:eastAsia="Times New Roman" w:hAnsi="Bodoni MT" w:cs="Times New Roman"/>
          <w:sz w:val="24"/>
          <w:szCs w:val="24"/>
          <w:lang w:eastAsia="it-IT"/>
        </w:rPr>
        <w:t>Roberto Tabbita</w:t>
      </w:r>
    </w:p>
    <w:p w14:paraId="2678F912" w14:textId="77777777" w:rsidR="00A85067" w:rsidRPr="0001097C" w:rsidRDefault="00A85067" w:rsidP="00A85067">
      <w:pPr>
        <w:spacing w:after="0" w:line="240" w:lineRule="auto"/>
        <w:ind w:firstLine="709"/>
        <w:jc w:val="both"/>
        <w:rPr>
          <w:rFonts w:ascii="Bodoni MT" w:eastAsia="Times New Roman" w:hAnsi="Bodoni MT" w:cs="Times New Roman"/>
          <w:sz w:val="24"/>
          <w:szCs w:val="24"/>
          <w:lang w:eastAsia="it-IT"/>
        </w:rPr>
      </w:pPr>
    </w:p>
    <w:p w14:paraId="09F7E356" w14:textId="77777777" w:rsidR="00A85067" w:rsidRDefault="00A85067" w:rsidP="00A85067">
      <w:pPr>
        <w:spacing w:after="0" w:line="240" w:lineRule="auto"/>
        <w:ind w:firstLine="709"/>
        <w:jc w:val="both"/>
        <w:rPr>
          <w:rFonts w:ascii="Bodoni MT" w:eastAsia="Times New Roman" w:hAnsi="Bodoni MT" w:cs="Times New Roman"/>
          <w:sz w:val="24"/>
          <w:szCs w:val="24"/>
          <w:lang w:eastAsia="it-IT"/>
        </w:rPr>
      </w:pPr>
    </w:p>
    <w:p w14:paraId="5F0CC064" w14:textId="77777777" w:rsidR="00E83262" w:rsidRDefault="00E83262" w:rsidP="00A85067">
      <w:pPr>
        <w:spacing w:after="0" w:line="240" w:lineRule="auto"/>
        <w:ind w:firstLine="709"/>
        <w:jc w:val="both"/>
        <w:rPr>
          <w:rFonts w:ascii="Bodoni MT" w:eastAsia="Times New Roman" w:hAnsi="Bodoni MT" w:cs="Times New Roman"/>
          <w:sz w:val="24"/>
          <w:szCs w:val="24"/>
          <w:lang w:eastAsia="it-IT"/>
        </w:rPr>
      </w:pPr>
    </w:p>
    <w:p w14:paraId="1F0A1B00" w14:textId="520BA62B" w:rsidR="00A85067" w:rsidRPr="0001097C" w:rsidRDefault="00A85067" w:rsidP="00A85067">
      <w:pPr>
        <w:spacing w:after="0" w:line="360" w:lineRule="auto"/>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Depositata in Segreteria il </w:t>
      </w:r>
      <w:r w:rsidR="00CF20F0">
        <w:rPr>
          <w:rFonts w:ascii="Bodoni MT" w:eastAsia="Times New Roman" w:hAnsi="Bodoni MT" w:cs="Times New Roman"/>
          <w:sz w:val="24"/>
          <w:szCs w:val="24"/>
          <w:lang w:eastAsia="it-IT"/>
        </w:rPr>
        <w:t>15 febbraio 2017</w:t>
      </w:r>
    </w:p>
    <w:p w14:paraId="61BA8A31" w14:textId="77777777" w:rsidR="00A85067" w:rsidRPr="0001097C" w:rsidRDefault="00A85067" w:rsidP="00A85067">
      <w:pPr>
        <w:spacing w:after="0" w:line="240" w:lineRule="auto"/>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Il funzionario preposto al Servizio di supporto</w:t>
      </w:r>
    </w:p>
    <w:p w14:paraId="1B0E914F" w14:textId="3D283391" w:rsidR="00BE2456" w:rsidRDefault="00A85067" w:rsidP="007B747A">
      <w:pPr>
        <w:spacing w:after="0" w:line="240" w:lineRule="auto"/>
        <w:ind w:left="708" w:firstLine="708"/>
        <w:jc w:val="both"/>
      </w:pPr>
      <w:r>
        <w:rPr>
          <w:rFonts w:ascii="Bodoni MT" w:eastAsia="Times New Roman" w:hAnsi="Bodoni MT" w:cs="Times New Roman"/>
          <w:sz w:val="24"/>
          <w:szCs w:val="24"/>
          <w:lang w:eastAsia="it-IT"/>
        </w:rPr>
        <w:t xml:space="preserve">f.to </w:t>
      </w:r>
      <w:r w:rsidRPr="0001097C">
        <w:rPr>
          <w:rFonts w:ascii="Bodoni MT" w:eastAsia="Times New Roman" w:hAnsi="Bodoni MT" w:cs="Times New Roman"/>
          <w:sz w:val="24"/>
          <w:szCs w:val="24"/>
          <w:lang w:eastAsia="it-IT"/>
        </w:rPr>
        <w:t>Claudio Felli</w:t>
      </w:r>
    </w:p>
    <w:sectPr w:rsidR="00BE2456" w:rsidSect="00091565">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886CD" w14:textId="77777777" w:rsidR="005149DA" w:rsidRDefault="005149DA">
      <w:pPr>
        <w:spacing w:after="0" w:line="240" w:lineRule="auto"/>
      </w:pPr>
      <w:r>
        <w:separator/>
      </w:r>
    </w:p>
  </w:endnote>
  <w:endnote w:type="continuationSeparator" w:id="0">
    <w:p w14:paraId="0E06999A" w14:textId="77777777" w:rsidR="005149DA" w:rsidRDefault="00514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926046"/>
      <w:docPartObj>
        <w:docPartGallery w:val="Page Numbers (Bottom of Page)"/>
        <w:docPartUnique/>
      </w:docPartObj>
    </w:sdtPr>
    <w:sdtEndPr>
      <w:rPr>
        <w:rFonts w:ascii="Bodoni MT" w:hAnsi="Bodoni MT"/>
        <w:sz w:val="20"/>
        <w:szCs w:val="20"/>
      </w:rPr>
    </w:sdtEndPr>
    <w:sdtContent>
      <w:p w14:paraId="35CDD80F" w14:textId="10AD75C4" w:rsidR="00091565" w:rsidRPr="00091565" w:rsidRDefault="00AC7A25">
        <w:pPr>
          <w:pStyle w:val="Pidipagina"/>
          <w:jc w:val="center"/>
          <w:rPr>
            <w:rFonts w:ascii="Bodoni MT" w:hAnsi="Bodoni MT"/>
            <w:sz w:val="20"/>
            <w:szCs w:val="20"/>
          </w:rPr>
        </w:pPr>
        <w:r w:rsidRPr="00091565">
          <w:rPr>
            <w:rFonts w:ascii="Bodoni MT" w:hAnsi="Bodoni MT"/>
            <w:sz w:val="20"/>
            <w:szCs w:val="20"/>
          </w:rPr>
          <w:fldChar w:fldCharType="begin"/>
        </w:r>
        <w:r w:rsidRPr="00091565">
          <w:rPr>
            <w:rFonts w:ascii="Bodoni MT" w:hAnsi="Bodoni MT"/>
            <w:sz w:val="20"/>
            <w:szCs w:val="20"/>
          </w:rPr>
          <w:instrText>PAGE   \* MERGEFORMAT</w:instrText>
        </w:r>
        <w:r w:rsidRPr="00091565">
          <w:rPr>
            <w:rFonts w:ascii="Bodoni MT" w:hAnsi="Bodoni MT"/>
            <w:sz w:val="20"/>
            <w:szCs w:val="20"/>
          </w:rPr>
          <w:fldChar w:fldCharType="separate"/>
        </w:r>
        <w:r w:rsidR="000470D9">
          <w:rPr>
            <w:rFonts w:ascii="Bodoni MT" w:hAnsi="Bodoni MT"/>
            <w:noProof/>
            <w:sz w:val="20"/>
            <w:szCs w:val="20"/>
          </w:rPr>
          <w:t>1</w:t>
        </w:r>
        <w:r w:rsidRPr="00091565">
          <w:rPr>
            <w:rFonts w:ascii="Bodoni MT" w:hAnsi="Bodoni MT"/>
            <w:sz w:val="20"/>
            <w:szCs w:val="20"/>
          </w:rPr>
          <w:fldChar w:fldCharType="end"/>
        </w:r>
      </w:p>
    </w:sdtContent>
  </w:sdt>
  <w:p w14:paraId="34E682C1" w14:textId="77777777" w:rsidR="00091565" w:rsidRDefault="005149D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C9107" w14:textId="77777777" w:rsidR="005149DA" w:rsidRDefault="005149DA">
      <w:pPr>
        <w:spacing w:after="0" w:line="240" w:lineRule="auto"/>
      </w:pPr>
      <w:r>
        <w:separator/>
      </w:r>
    </w:p>
  </w:footnote>
  <w:footnote w:type="continuationSeparator" w:id="0">
    <w:p w14:paraId="2365D8D0" w14:textId="77777777" w:rsidR="005149DA" w:rsidRDefault="00514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32A6B"/>
    <w:multiLevelType w:val="hybridMultilevel"/>
    <w:tmpl w:val="B4722F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6410AF1"/>
    <w:multiLevelType w:val="hybridMultilevel"/>
    <w:tmpl w:val="1FA8B978"/>
    <w:lvl w:ilvl="0" w:tplc="B78AD918">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67"/>
    <w:rsid w:val="0000614A"/>
    <w:rsid w:val="00020061"/>
    <w:rsid w:val="00027CAC"/>
    <w:rsid w:val="000470D9"/>
    <w:rsid w:val="00071FFF"/>
    <w:rsid w:val="000D3623"/>
    <w:rsid w:val="00121B88"/>
    <w:rsid w:val="001671BD"/>
    <w:rsid w:val="001C4819"/>
    <w:rsid w:val="001F3815"/>
    <w:rsid w:val="001F670F"/>
    <w:rsid w:val="00213294"/>
    <w:rsid w:val="00255FD0"/>
    <w:rsid w:val="002B047F"/>
    <w:rsid w:val="002B6027"/>
    <w:rsid w:val="002C4AC0"/>
    <w:rsid w:val="002E73DE"/>
    <w:rsid w:val="003001B2"/>
    <w:rsid w:val="00344B7F"/>
    <w:rsid w:val="003A111E"/>
    <w:rsid w:val="003F2D84"/>
    <w:rsid w:val="00425BB3"/>
    <w:rsid w:val="005149DA"/>
    <w:rsid w:val="0052040E"/>
    <w:rsid w:val="00574148"/>
    <w:rsid w:val="005876D5"/>
    <w:rsid w:val="005B018B"/>
    <w:rsid w:val="005B5079"/>
    <w:rsid w:val="005F5924"/>
    <w:rsid w:val="0063161E"/>
    <w:rsid w:val="00664B0F"/>
    <w:rsid w:val="0068494D"/>
    <w:rsid w:val="0069230E"/>
    <w:rsid w:val="006979B8"/>
    <w:rsid w:val="006A5CE6"/>
    <w:rsid w:val="006F07DF"/>
    <w:rsid w:val="006F295C"/>
    <w:rsid w:val="007026FE"/>
    <w:rsid w:val="00710C84"/>
    <w:rsid w:val="00731096"/>
    <w:rsid w:val="0075335C"/>
    <w:rsid w:val="007B747A"/>
    <w:rsid w:val="007E2DC6"/>
    <w:rsid w:val="00813484"/>
    <w:rsid w:val="00837B84"/>
    <w:rsid w:val="00875299"/>
    <w:rsid w:val="008B1E4C"/>
    <w:rsid w:val="00966540"/>
    <w:rsid w:val="0098069B"/>
    <w:rsid w:val="009B306B"/>
    <w:rsid w:val="009D32F0"/>
    <w:rsid w:val="00A16C8D"/>
    <w:rsid w:val="00A52D21"/>
    <w:rsid w:val="00A85067"/>
    <w:rsid w:val="00A94FDD"/>
    <w:rsid w:val="00AA6883"/>
    <w:rsid w:val="00AC7A25"/>
    <w:rsid w:val="00AD1D48"/>
    <w:rsid w:val="00AE0319"/>
    <w:rsid w:val="00AF2006"/>
    <w:rsid w:val="00B15F83"/>
    <w:rsid w:val="00B7550B"/>
    <w:rsid w:val="00B92280"/>
    <w:rsid w:val="00BB1B86"/>
    <w:rsid w:val="00C411A1"/>
    <w:rsid w:val="00CA0F3F"/>
    <w:rsid w:val="00CD43B0"/>
    <w:rsid w:val="00CF20F0"/>
    <w:rsid w:val="00D84FE7"/>
    <w:rsid w:val="00D938EA"/>
    <w:rsid w:val="00DF38C7"/>
    <w:rsid w:val="00DF3B7F"/>
    <w:rsid w:val="00E06F4D"/>
    <w:rsid w:val="00E3210D"/>
    <w:rsid w:val="00E83262"/>
    <w:rsid w:val="00EC1339"/>
    <w:rsid w:val="00ED03E7"/>
    <w:rsid w:val="00EF0353"/>
    <w:rsid w:val="00F56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D627C87"/>
  <w15:chartTrackingRefBased/>
  <w15:docId w15:val="{948E0CBD-4C24-4284-B543-F1B263AC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0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850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5067"/>
  </w:style>
  <w:style w:type="paragraph" w:styleId="Paragrafoelenco">
    <w:name w:val="List Paragraph"/>
    <w:basedOn w:val="Normale"/>
    <w:uiPriority w:val="34"/>
    <w:qFormat/>
    <w:rsid w:val="007E2DC6"/>
    <w:pPr>
      <w:ind w:left="720"/>
      <w:contextualSpacing/>
    </w:pPr>
  </w:style>
  <w:style w:type="paragraph" w:styleId="Testofumetto">
    <w:name w:val="Balloon Text"/>
    <w:basedOn w:val="Normale"/>
    <w:link w:val="TestofumettoCarattere"/>
    <w:uiPriority w:val="99"/>
    <w:semiHidden/>
    <w:unhideWhenUsed/>
    <w:rsid w:val="00B9228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2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9845">
      <w:bodyDiv w:val="1"/>
      <w:marLeft w:val="0"/>
      <w:marRight w:val="0"/>
      <w:marTop w:val="150"/>
      <w:marBottom w:val="0"/>
      <w:divBdr>
        <w:top w:val="none" w:sz="0" w:space="0" w:color="auto"/>
        <w:left w:val="none" w:sz="0" w:space="0" w:color="auto"/>
        <w:bottom w:val="none" w:sz="0" w:space="0" w:color="auto"/>
        <w:right w:val="none" w:sz="0" w:space="0" w:color="auto"/>
      </w:divBdr>
      <w:divsChild>
        <w:div w:id="732460367">
          <w:marLeft w:val="0"/>
          <w:marRight w:val="0"/>
          <w:marTop w:val="0"/>
          <w:marBottom w:val="0"/>
          <w:divBdr>
            <w:top w:val="none" w:sz="0" w:space="0" w:color="auto"/>
            <w:left w:val="none" w:sz="0" w:space="0" w:color="auto"/>
            <w:bottom w:val="none" w:sz="0" w:space="0" w:color="auto"/>
            <w:right w:val="none" w:sz="0" w:space="0" w:color="auto"/>
          </w:divBdr>
          <w:divsChild>
            <w:div w:id="2114280299">
              <w:marLeft w:val="0"/>
              <w:marRight w:val="0"/>
              <w:marTop w:val="0"/>
              <w:marBottom w:val="0"/>
              <w:divBdr>
                <w:top w:val="none" w:sz="0" w:space="0" w:color="auto"/>
                <w:left w:val="none" w:sz="0" w:space="0" w:color="auto"/>
                <w:bottom w:val="none" w:sz="0" w:space="0" w:color="auto"/>
                <w:right w:val="none" w:sz="0" w:space="0" w:color="auto"/>
              </w:divBdr>
              <w:divsChild>
                <w:div w:id="1827822458">
                  <w:marLeft w:val="0"/>
                  <w:marRight w:val="0"/>
                  <w:marTop w:val="0"/>
                  <w:marBottom w:val="0"/>
                  <w:divBdr>
                    <w:top w:val="none" w:sz="0" w:space="0" w:color="auto"/>
                    <w:left w:val="none" w:sz="0" w:space="0" w:color="auto"/>
                    <w:bottom w:val="none" w:sz="0" w:space="0" w:color="auto"/>
                    <w:right w:val="none" w:sz="0" w:space="0" w:color="auto"/>
                  </w:divBdr>
                  <w:divsChild>
                    <w:div w:id="1331175332">
                      <w:marLeft w:val="0"/>
                      <w:marRight w:val="0"/>
                      <w:marTop w:val="0"/>
                      <w:marBottom w:val="0"/>
                      <w:divBdr>
                        <w:top w:val="none" w:sz="0" w:space="0" w:color="auto"/>
                        <w:left w:val="none" w:sz="0" w:space="0" w:color="auto"/>
                        <w:bottom w:val="none" w:sz="0" w:space="0" w:color="auto"/>
                        <w:right w:val="none" w:sz="0" w:space="0" w:color="auto"/>
                      </w:divBdr>
                      <w:divsChild>
                        <w:div w:id="1014845895">
                          <w:marLeft w:val="375"/>
                          <w:marRight w:val="0"/>
                          <w:marTop w:val="0"/>
                          <w:marBottom w:val="0"/>
                          <w:divBdr>
                            <w:top w:val="none" w:sz="0" w:space="0" w:color="auto"/>
                            <w:left w:val="none" w:sz="0" w:space="0" w:color="auto"/>
                            <w:bottom w:val="none" w:sz="0" w:space="0" w:color="auto"/>
                            <w:right w:val="none" w:sz="0" w:space="0" w:color="auto"/>
                          </w:divBdr>
                          <w:divsChild>
                            <w:div w:id="1105539671">
                              <w:marLeft w:val="0"/>
                              <w:marRight w:val="0"/>
                              <w:marTop w:val="0"/>
                              <w:marBottom w:val="300"/>
                              <w:divBdr>
                                <w:top w:val="none" w:sz="0" w:space="0" w:color="auto"/>
                                <w:left w:val="single" w:sz="6" w:space="0" w:color="EDEDED"/>
                                <w:bottom w:val="single" w:sz="6" w:space="26" w:color="EDEDED"/>
                                <w:right w:val="single" w:sz="6" w:space="0" w:color="EDEDED"/>
                              </w:divBdr>
                              <w:divsChild>
                                <w:div w:id="1895922251">
                                  <w:marLeft w:val="0"/>
                                  <w:marRight w:val="0"/>
                                  <w:marTop w:val="0"/>
                                  <w:marBottom w:val="0"/>
                                  <w:divBdr>
                                    <w:top w:val="none" w:sz="0" w:space="0" w:color="auto"/>
                                    <w:left w:val="none" w:sz="0" w:space="0" w:color="auto"/>
                                    <w:bottom w:val="none" w:sz="0" w:space="0" w:color="auto"/>
                                    <w:right w:val="none" w:sz="0" w:space="0" w:color="auto"/>
                                  </w:divBdr>
                                  <w:divsChild>
                                    <w:div w:id="749694330">
                                      <w:marLeft w:val="0"/>
                                      <w:marRight w:val="0"/>
                                      <w:marTop w:val="0"/>
                                      <w:marBottom w:val="0"/>
                                      <w:divBdr>
                                        <w:top w:val="none" w:sz="0" w:space="0" w:color="auto"/>
                                        <w:left w:val="none" w:sz="0" w:space="0" w:color="auto"/>
                                        <w:bottom w:val="none" w:sz="0" w:space="0" w:color="auto"/>
                                        <w:right w:val="none" w:sz="0" w:space="0" w:color="auto"/>
                                      </w:divBdr>
                                    </w:div>
                                    <w:div w:id="1974552580">
                                      <w:marLeft w:val="0"/>
                                      <w:marRight w:val="0"/>
                                      <w:marTop w:val="0"/>
                                      <w:marBottom w:val="0"/>
                                      <w:divBdr>
                                        <w:top w:val="none" w:sz="0" w:space="0" w:color="auto"/>
                                        <w:left w:val="none" w:sz="0" w:space="0" w:color="auto"/>
                                        <w:bottom w:val="none" w:sz="0" w:space="0" w:color="auto"/>
                                        <w:right w:val="none" w:sz="0" w:space="0" w:color="auto"/>
                                      </w:divBdr>
                                      <w:divsChild>
                                        <w:div w:id="755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2304</Words>
  <Characters>13135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Corte dei Conti</Company>
  <LinksUpToDate>false</LinksUpToDate>
  <CharactersWithSpaces>15409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Prudente Valentina</dc:creator>
  <cp:keywords/>
  <dc:description/>
  <cp:lastModifiedBy>Croppi Simona</cp:lastModifiedBy>
  <cp:revision>2</cp:revision>
  <cp:lastPrinted>2017-01-24T11:16:00Z</cp:lastPrinted>
  <dcterms:created xsi:type="dcterms:W3CDTF">2017-02-15T12:58:00Z</dcterms:created>
  <dcterms:modified xsi:type="dcterms:W3CDTF">2017-02-15T12:58:00Z</dcterms:modified>
</cp:coreProperties>
</file>