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EEF" w:rsidRPr="0001097C" w:rsidRDefault="00703EEF" w:rsidP="00703EEF">
      <w:pPr>
        <w:spacing w:after="0" w:line="360" w:lineRule="auto"/>
        <w:ind w:right="98"/>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Del. n. </w:t>
      </w:r>
      <w:r w:rsidR="00AB4349">
        <w:rPr>
          <w:rFonts w:ascii="Bodoni MT" w:eastAsia="Times New Roman" w:hAnsi="Bodoni MT" w:cs="Times New Roman"/>
          <w:sz w:val="24"/>
          <w:szCs w:val="24"/>
          <w:lang w:eastAsia="it-IT"/>
        </w:rPr>
        <w:t>98</w:t>
      </w:r>
      <w:r>
        <w:rPr>
          <w:rFonts w:ascii="Bodoni MT" w:eastAsia="Times New Roman" w:hAnsi="Bodoni MT" w:cs="Times New Roman"/>
          <w:sz w:val="24"/>
          <w:szCs w:val="24"/>
          <w:lang w:eastAsia="it-IT"/>
        </w:rPr>
        <w:t>/2017</w:t>
      </w:r>
      <w:r w:rsidRPr="0001097C">
        <w:rPr>
          <w:rFonts w:ascii="Bodoni MT" w:eastAsia="Times New Roman" w:hAnsi="Bodoni MT" w:cs="Times New Roman"/>
          <w:sz w:val="24"/>
          <w:szCs w:val="24"/>
          <w:lang w:eastAsia="it-IT"/>
        </w:rPr>
        <w:t>/PAR</w:t>
      </w:r>
    </w:p>
    <w:p w:rsidR="00703EEF" w:rsidRPr="0001097C" w:rsidRDefault="00703EEF" w:rsidP="00703EEF">
      <w:pPr>
        <w:spacing w:after="0" w:line="360" w:lineRule="auto"/>
        <w:ind w:left="180" w:right="98" w:firstLine="540"/>
        <w:jc w:val="center"/>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object w:dxaOrig="2625" w:dyaOrig="1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72.75pt" o:ole="">
            <v:imagedata r:id="rId8" o:title=""/>
          </v:shape>
          <o:OLEObject Type="Embed" ProgID="Word.Picture.8" ShapeID="_x0000_i1025" DrawAspect="Content" ObjectID="_1552221200" r:id="rId9"/>
        </w:object>
      </w:r>
    </w:p>
    <w:p w:rsidR="00703EEF" w:rsidRPr="0001097C" w:rsidRDefault="00703EEF" w:rsidP="00703EEF">
      <w:pPr>
        <w:spacing w:after="0" w:line="360" w:lineRule="auto"/>
        <w:ind w:left="2293" w:right="96" w:firstLine="539"/>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Sezione Regionale di Controllo per la Toscana</w:t>
      </w:r>
    </w:p>
    <w:p w:rsidR="00703EEF" w:rsidRPr="0001097C" w:rsidRDefault="00703EEF" w:rsidP="00703EEF">
      <w:pPr>
        <w:spacing w:after="0" w:line="360" w:lineRule="auto"/>
        <w:ind w:left="3000" w:right="96" w:hanging="2291"/>
        <w:rPr>
          <w:rFonts w:ascii="Bodoni MT" w:eastAsia="Times New Roman" w:hAnsi="Bodoni MT" w:cs="Times New Roman"/>
          <w:sz w:val="24"/>
          <w:szCs w:val="24"/>
          <w:lang w:eastAsia="it-IT"/>
        </w:rPr>
      </w:pPr>
      <w:proofErr w:type="gramStart"/>
      <w:r w:rsidRPr="0001097C">
        <w:rPr>
          <w:rFonts w:ascii="Bodoni MT" w:eastAsia="Times New Roman" w:hAnsi="Bodoni MT" w:cs="Times New Roman"/>
          <w:sz w:val="24"/>
          <w:szCs w:val="24"/>
          <w:lang w:eastAsia="it-IT"/>
        </w:rPr>
        <w:t>composta</w:t>
      </w:r>
      <w:proofErr w:type="gramEnd"/>
      <w:r w:rsidRPr="0001097C">
        <w:rPr>
          <w:rFonts w:ascii="Bodoni MT" w:eastAsia="Times New Roman" w:hAnsi="Bodoni MT" w:cs="Times New Roman"/>
          <w:sz w:val="24"/>
          <w:szCs w:val="24"/>
          <w:lang w:eastAsia="it-IT"/>
        </w:rPr>
        <w:t xml:space="preserve"> dai magistrati:</w:t>
      </w:r>
    </w:p>
    <w:p w:rsidR="00703EEF" w:rsidRPr="0001097C" w:rsidRDefault="00703EEF" w:rsidP="00703EEF">
      <w:pPr>
        <w:spacing w:after="0" w:line="360" w:lineRule="auto"/>
        <w:ind w:right="98"/>
        <w:jc w:val="both"/>
        <w:rPr>
          <w:rFonts w:ascii="Bodoni MT" w:eastAsia="Times New Roman" w:hAnsi="Bodoni MT" w:cs="Times New Roman"/>
          <w:sz w:val="24"/>
          <w:szCs w:val="24"/>
          <w:lang w:eastAsia="it-IT"/>
        </w:rPr>
      </w:pPr>
    </w:p>
    <w:p w:rsidR="00703EEF" w:rsidRPr="0001097C" w:rsidRDefault="00703EEF" w:rsidP="00703EEF">
      <w:pPr>
        <w:spacing w:after="0" w:line="360" w:lineRule="auto"/>
        <w:ind w:left="720" w:right="98"/>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Roberto TABBITA</w:t>
      </w:r>
      <w:r w:rsidRPr="0001097C">
        <w:rPr>
          <w:rFonts w:ascii="Bodoni MT" w:eastAsia="Times New Roman" w:hAnsi="Bodoni MT" w:cs="Times New Roman"/>
          <w:sz w:val="24"/>
          <w:szCs w:val="24"/>
          <w:lang w:eastAsia="it-IT"/>
        </w:rPr>
        <w:tab/>
      </w:r>
      <w:r w:rsidRPr="0001097C">
        <w:rPr>
          <w:rFonts w:ascii="Bodoni MT" w:eastAsia="Times New Roman" w:hAnsi="Bodoni MT" w:cs="Times New Roman"/>
          <w:sz w:val="24"/>
          <w:szCs w:val="24"/>
          <w:lang w:eastAsia="it-IT"/>
        </w:rPr>
        <w:tab/>
      </w:r>
      <w:r w:rsidRPr="0001097C">
        <w:rPr>
          <w:rFonts w:ascii="Bodoni MT" w:eastAsia="Times New Roman" w:hAnsi="Bodoni MT" w:cs="Times New Roman"/>
          <w:sz w:val="24"/>
          <w:szCs w:val="24"/>
          <w:lang w:eastAsia="it-IT"/>
        </w:rPr>
        <w:tab/>
      </w:r>
      <w:r w:rsidRPr="0001097C">
        <w:rPr>
          <w:rFonts w:ascii="Bodoni MT" w:eastAsia="Times New Roman" w:hAnsi="Bodoni MT" w:cs="Times New Roman"/>
          <w:sz w:val="24"/>
          <w:szCs w:val="24"/>
          <w:lang w:eastAsia="it-IT"/>
        </w:rPr>
        <w:tab/>
      </w:r>
      <w:r w:rsidRPr="0001097C">
        <w:rPr>
          <w:rFonts w:ascii="Bodoni MT" w:eastAsia="Times New Roman" w:hAnsi="Bodoni MT" w:cs="Times New Roman"/>
          <w:sz w:val="24"/>
          <w:szCs w:val="24"/>
          <w:lang w:eastAsia="it-IT"/>
        </w:rPr>
        <w:tab/>
        <w:t>presidente</w:t>
      </w:r>
    </w:p>
    <w:p w:rsidR="00703EEF" w:rsidRDefault="00703EEF" w:rsidP="00703EEF">
      <w:pPr>
        <w:spacing w:after="0" w:line="360" w:lineRule="auto"/>
        <w:ind w:left="720" w:right="98"/>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Paolo PELUFFO</w:t>
      </w:r>
      <w:r w:rsidRPr="0001097C">
        <w:rPr>
          <w:rFonts w:ascii="Bodoni MT" w:eastAsia="Times New Roman" w:hAnsi="Bodoni MT" w:cs="Times New Roman"/>
          <w:sz w:val="24"/>
          <w:szCs w:val="24"/>
          <w:lang w:eastAsia="it-IT"/>
        </w:rPr>
        <w:tab/>
      </w:r>
      <w:r w:rsidRPr="0001097C">
        <w:rPr>
          <w:rFonts w:ascii="Bodoni MT" w:eastAsia="Times New Roman" w:hAnsi="Bodoni MT" w:cs="Times New Roman"/>
          <w:sz w:val="24"/>
          <w:szCs w:val="24"/>
          <w:lang w:eastAsia="it-IT"/>
        </w:rPr>
        <w:tab/>
      </w:r>
      <w:r w:rsidRPr="0001097C">
        <w:rPr>
          <w:rFonts w:ascii="Bodoni MT" w:eastAsia="Times New Roman" w:hAnsi="Bodoni MT" w:cs="Times New Roman"/>
          <w:sz w:val="24"/>
          <w:szCs w:val="24"/>
          <w:lang w:eastAsia="it-IT"/>
        </w:rPr>
        <w:tab/>
      </w:r>
      <w:r w:rsidRPr="0001097C">
        <w:rPr>
          <w:rFonts w:ascii="Bodoni MT" w:eastAsia="Times New Roman" w:hAnsi="Bodoni MT" w:cs="Times New Roman"/>
          <w:sz w:val="24"/>
          <w:szCs w:val="24"/>
          <w:lang w:eastAsia="it-IT"/>
        </w:rPr>
        <w:tab/>
      </w:r>
      <w:r w:rsidRPr="0001097C">
        <w:rPr>
          <w:rFonts w:ascii="Bodoni MT" w:eastAsia="Times New Roman" w:hAnsi="Bodoni MT" w:cs="Times New Roman"/>
          <w:sz w:val="24"/>
          <w:szCs w:val="24"/>
          <w:lang w:eastAsia="it-IT"/>
        </w:rPr>
        <w:tab/>
        <w:t>consigliere</w:t>
      </w:r>
      <w:r>
        <w:rPr>
          <w:rFonts w:ascii="Bodoni MT" w:eastAsia="Times New Roman" w:hAnsi="Bodoni MT" w:cs="Times New Roman"/>
          <w:sz w:val="24"/>
          <w:szCs w:val="24"/>
          <w:lang w:eastAsia="it-IT"/>
        </w:rPr>
        <w:t xml:space="preserve"> </w:t>
      </w:r>
    </w:p>
    <w:p w:rsidR="00703EEF" w:rsidRDefault="00703EEF" w:rsidP="00703EEF">
      <w:pPr>
        <w:spacing w:after="0" w:line="360" w:lineRule="auto"/>
        <w:ind w:left="720" w:right="98"/>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Ma</w:t>
      </w:r>
      <w:r>
        <w:rPr>
          <w:rFonts w:ascii="Bodoni MT" w:eastAsia="Times New Roman" w:hAnsi="Bodoni MT" w:cs="Times New Roman"/>
          <w:sz w:val="24"/>
          <w:szCs w:val="24"/>
          <w:lang w:eastAsia="it-IT"/>
        </w:rPr>
        <w:t>rco BONCOMPAGNI</w:t>
      </w:r>
      <w:r>
        <w:rPr>
          <w:rFonts w:ascii="Bodoni MT" w:eastAsia="Times New Roman" w:hAnsi="Bodoni MT" w:cs="Times New Roman"/>
          <w:sz w:val="24"/>
          <w:szCs w:val="24"/>
          <w:lang w:eastAsia="it-IT"/>
        </w:rPr>
        <w:tab/>
      </w:r>
      <w:r>
        <w:rPr>
          <w:rFonts w:ascii="Bodoni MT" w:eastAsia="Times New Roman" w:hAnsi="Bodoni MT" w:cs="Times New Roman"/>
          <w:sz w:val="24"/>
          <w:szCs w:val="24"/>
          <w:lang w:eastAsia="it-IT"/>
        </w:rPr>
        <w:tab/>
      </w:r>
      <w:r>
        <w:rPr>
          <w:rFonts w:ascii="Bodoni MT" w:eastAsia="Times New Roman" w:hAnsi="Bodoni MT" w:cs="Times New Roman"/>
          <w:sz w:val="24"/>
          <w:szCs w:val="24"/>
          <w:lang w:eastAsia="it-IT"/>
        </w:rPr>
        <w:tab/>
      </w:r>
      <w:r>
        <w:rPr>
          <w:rFonts w:ascii="Bodoni MT" w:eastAsia="Times New Roman" w:hAnsi="Bodoni MT" w:cs="Times New Roman"/>
          <w:sz w:val="24"/>
          <w:szCs w:val="24"/>
          <w:lang w:eastAsia="it-IT"/>
        </w:rPr>
        <w:tab/>
        <w:t>consigliere</w:t>
      </w:r>
    </w:p>
    <w:p w:rsidR="00703EEF" w:rsidRPr="0001097C" w:rsidRDefault="00703EEF" w:rsidP="00155652">
      <w:pPr>
        <w:tabs>
          <w:tab w:val="left" w:pos="5670"/>
        </w:tabs>
        <w:spacing w:after="0" w:line="360" w:lineRule="auto"/>
        <w:ind w:left="720" w:right="98"/>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Mauro NORI</w:t>
      </w:r>
      <w:r w:rsidR="00155652">
        <w:rPr>
          <w:rFonts w:ascii="Bodoni MT" w:eastAsia="Times New Roman" w:hAnsi="Bodoni MT" w:cs="Times New Roman"/>
          <w:sz w:val="24"/>
          <w:szCs w:val="24"/>
          <w:lang w:eastAsia="it-IT"/>
        </w:rPr>
        <w:tab/>
      </w:r>
      <w:r w:rsidRPr="00C64A2D">
        <w:rPr>
          <w:rFonts w:ascii="Bodoni MT" w:eastAsia="Times New Roman" w:hAnsi="Bodoni MT" w:cs="Times New Roman"/>
          <w:sz w:val="24"/>
          <w:szCs w:val="24"/>
          <w:lang w:eastAsia="it-IT"/>
        </w:rPr>
        <w:t>consigliere</w:t>
      </w:r>
      <w:r>
        <w:rPr>
          <w:rFonts w:ascii="Bodoni MT" w:eastAsia="Times New Roman" w:hAnsi="Bodoni MT" w:cs="Times New Roman"/>
          <w:sz w:val="24"/>
          <w:szCs w:val="24"/>
          <w:lang w:eastAsia="it-IT"/>
        </w:rPr>
        <w:t>, relatore</w:t>
      </w:r>
    </w:p>
    <w:p w:rsidR="00703EEF" w:rsidRPr="0001097C" w:rsidRDefault="00703EEF" w:rsidP="00703EEF">
      <w:pPr>
        <w:spacing w:before="120" w:after="120" w:line="360" w:lineRule="auto"/>
        <w:ind w:firstLine="709"/>
        <w:jc w:val="both"/>
        <w:rPr>
          <w:rFonts w:ascii="Bodoni MT" w:eastAsia="Times New Roman" w:hAnsi="Bodoni MT" w:cs="Times New Roman"/>
          <w:sz w:val="24"/>
          <w:szCs w:val="24"/>
          <w:lang w:eastAsia="it-IT"/>
        </w:rPr>
      </w:pPr>
      <w:proofErr w:type="gramStart"/>
      <w:r w:rsidRPr="0001097C">
        <w:rPr>
          <w:rFonts w:ascii="Bodoni MT" w:eastAsia="Times New Roman" w:hAnsi="Bodoni MT" w:cs="Times New Roman"/>
          <w:sz w:val="24"/>
          <w:szCs w:val="24"/>
          <w:lang w:eastAsia="it-IT"/>
        </w:rPr>
        <w:t>nell’adunanza</w:t>
      </w:r>
      <w:proofErr w:type="gramEnd"/>
      <w:r w:rsidRPr="0001097C">
        <w:rPr>
          <w:rFonts w:ascii="Bodoni MT" w:eastAsia="Times New Roman" w:hAnsi="Bodoni MT" w:cs="Times New Roman"/>
          <w:sz w:val="24"/>
          <w:szCs w:val="24"/>
          <w:lang w:eastAsia="it-IT"/>
        </w:rPr>
        <w:t xml:space="preserve"> del </w:t>
      </w:r>
      <w:r w:rsidR="0086030F">
        <w:rPr>
          <w:rFonts w:ascii="Bodoni MT" w:eastAsia="Times New Roman" w:hAnsi="Bodoni MT" w:cs="Times New Roman"/>
          <w:sz w:val="24"/>
          <w:szCs w:val="24"/>
          <w:lang w:eastAsia="it-IT"/>
        </w:rPr>
        <w:t xml:space="preserve">28 marzo </w:t>
      </w:r>
      <w:r>
        <w:rPr>
          <w:rFonts w:ascii="Bodoni MT" w:eastAsia="Times New Roman" w:hAnsi="Bodoni MT" w:cs="Times New Roman"/>
          <w:sz w:val="24"/>
          <w:szCs w:val="24"/>
          <w:lang w:eastAsia="it-IT"/>
        </w:rPr>
        <w:t>2017,</w:t>
      </w:r>
    </w:p>
    <w:p w:rsidR="00703EEF" w:rsidRPr="0001097C" w:rsidRDefault="00703EEF" w:rsidP="00703EEF">
      <w:pPr>
        <w:spacing w:after="0" w:line="360" w:lineRule="auto"/>
        <w:ind w:firstLine="708"/>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VISTO l’art. 100, comma 2, della Costituzione;</w:t>
      </w:r>
    </w:p>
    <w:p w:rsidR="00703EEF" w:rsidRPr="0001097C" w:rsidRDefault="00703EEF" w:rsidP="00703EEF">
      <w:pPr>
        <w:spacing w:after="0" w:line="360" w:lineRule="auto"/>
        <w:ind w:firstLine="709"/>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 xml:space="preserve">VISTO il testo unico delle leggi sulla Corte dei conti, approvato con r.d. </w:t>
      </w:r>
      <w:smartTag w:uri="urn:schemas-microsoft-com:office:smarttags" w:element="date">
        <w:smartTagPr>
          <w:attr w:name="ls" w:val="trans"/>
          <w:attr w:name="Month" w:val="7"/>
          <w:attr w:name="Day" w:val="12"/>
          <w:attr w:name="Year" w:val="19"/>
        </w:smartTagPr>
        <w:r w:rsidRPr="0001097C">
          <w:rPr>
            <w:rFonts w:ascii="Bodoni MT" w:eastAsia="Times New Roman" w:hAnsi="Bodoni MT" w:cs="Times New Roman"/>
            <w:sz w:val="24"/>
            <w:szCs w:val="24"/>
            <w:lang w:eastAsia="it-IT"/>
          </w:rPr>
          <w:t>12 luglio 19</w:t>
        </w:r>
      </w:smartTag>
      <w:r w:rsidRPr="0001097C">
        <w:rPr>
          <w:rFonts w:ascii="Bodoni MT" w:eastAsia="Times New Roman" w:hAnsi="Bodoni MT" w:cs="Times New Roman"/>
          <w:sz w:val="24"/>
          <w:szCs w:val="24"/>
          <w:lang w:eastAsia="it-IT"/>
        </w:rPr>
        <w:t>34, n. 1214, e successive modificazioni;</w:t>
      </w:r>
    </w:p>
    <w:p w:rsidR="00703EEF" w:rsidRPr="0001097C" w:rsidRDefault="00703EEF" w:rsidP="00703EEF">
      <w:pPr>
        <w:spacing w:after="0" w:line="360" w:lineRule="auto"/>
        <w:ind w:firstLine="709"/>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 xml:space="preserve">VISTA la legge </w:t>
      </w:r>
      <w:smartTag w:uri="urn:schemas-microsoft-com:office:smarttags" w:element="date">
        <w:smartTagPr>
          <w:attr w:name="ls" w:val="trans"/>
          <w:attr w:name="Month" w:val="1"/>
          <w:attr w:name="Day" w:val="14"/>
          <w:attr w:name="Year" w:val="1994"/>
        </w:smartTagPr>
        <w:r w:rsidRPr="0001097C">
          <w:rPr>
            <w:rFonts w:ascii="Bodoni MT" w:eastAsia="Times New Roman" w:hAnsi="Bodoni MT" w:cs="Times New Roman"/>
            <w:sz w:val="24"/>
            <w:szCs w:val="24"/>
            <w:lang w:eastAsia="it-IT"/>
          </w:rPr>
          <w:t>14 gennaio 1994</w:t>
        </w:r>
      </w:smartTag>
      <w:r w:rsidRPr="0001097C">
        <w:rPr>
          <w:rFonts w:ascii="Bodoni MT" w:eastAsia="Times New Roman" w:hAnsi="Bodoni MT" w:cs="Times New Roman"/>
          <w:sz w:val="24"/>
          <w:szCs w:val="24"/>
          <w:lang w:eastAsia="it-IT"/>
        </w:rPr>
        <w:t xml:space="preserve">, n. 20, recante disposizioni in materia di giurisdizione e controllo della Corte dei Conti, e successive modificazioni; </w:t>
      </w:r>
    </w:p>
    <w:p w:rsidR="00703EEF" w:rsidRPr="0001097C" w:rsidRDefault="00703EEF" w:rsidP="00703EEF">
      <w:pPr>
        <w:spacing w:after="0" w:line="360" w:lineRule="auto"/>
        <w:ind w:firstLine="709"/>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 xml:space="preserve">VISTA la legge </w:t>
      </w:r>
      <w:smartTag w:uri="urn:schemas-microsoft-com:office:smarttags" w:element="date">
        <w:smartTagPr>
          <w:attr w:name="ls" w:val="trans"/>
          <w:attr w:name="Month" w:val="6"/>
          <w:attr w:name="Day" w:val="5"/>
          <w:attr w:name="Year" w:val="2003"/>
        </w:smartTagPr>
        <w:r w:rsidRPr="0001097C">
          <w:rPr>
            <w:rFonts w:ascii="Bodoni MT" w:eastAsia="Times New Roman" w:hAnsi="Bodoni MT" w:cs="Times New Roman"/>
            <w:sz w:val="24"/>
            <w:szCs w:val="24"/>
            <w:lang w:eastAsia="it-IT"/>
          </w:rPr>
          <w:t>5 giugno 2003</w:t>
        </w:r>
      </w:smartTag>
      <w:r w:rsidRPr="0001097C">
        <w:rPr>
          <w:rFonts w:ascii="Bodoni MT" w:eastAsia="Times New Roman" w:hAnsi="Bodoni MT" w:cs="Times New Roman"/>
          <w:sz w:val="24"/>
          <w:szCs w:val="24"/>
          <w:lang w:eastAsia="it-IT"/>
        </w:rPr>
        <w:t xml:space="preserve"> n. 131, recante disposizioni per l’adeguamento dell’ordinamento della Repubblica alla legge costituzionale </w:t>
      </w:r>
      <w:smartTag w:uri="urn:schemas-microsoft-com:office:smarttags" w:element="date">
        <w:smartTagPr>
          <w:attr w:name="ls" w:val="trans"/>
          <w:attr w:name="Month" w:val="10"/>
          <w:attr w:name="Day" w:val="18"/>
          <w:attr w:name="Year" w:val="2001"/>
        </w:smartTagPr>
        <w:r w:rsidRPr="0001097C">
          <w:rPr>
            <w:rFonts w:ascii="Bodoni MT" w:eastAsia="Times New Roman" w:hAnsi="Bodoni MT" w:cs="Times New Roman"/>
            <w:sz w:val="24"/>
            <w:szCs w:val="24"/>
            <w:lang w:eastAsia="it-IT"/>
          </w:rPr>
          <w:t>18 ottobre 2001</w:t>
        </w:r>
      </w:smartTag>
      <w:r w:rsidRPr="0001097C">
        <w:rPr>
          <w:rFonts w:ascii="Bodoni MT" w:eastAsia="Times New Roman" w:hAnsi="Bodoni MT" w:cs="Times New Roman"/>
          <w:sz w:val="24"/>
          <w:szCs w:val="24"/>
          <w:lang w:eastAsia="it-IT"/>
        </w:rPr>
        <w:t>, n. 3;</w:t>
      </w:r>
    </w:p>
    <w:p w:rsidR="00703EEF" w:rsidRPr="0001097C" w:rsidRDefault="00703EEF" w:rsidP="00703EEF">
      <w:pPr>
        <w:spacing w:after="0" w:line="360" w:lineRule="auto"/>
        <w:ind w:firstLine="708"/>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 xml:space="preserve">VISTO il regolamento (14/2000) per l’organizzazione delle funzioni di controllo della Corte dei conti, deliberato dalle Sezioni Riunite della Corte dei conti in data </w:t>
      </w:r>
      <w:smartTag w:uri="urn:schemas-microsoft-com:office:smarttags" w:element="date">
        <w:smartTagPr>
          <w:attr w:name="ls" w:val="trans"/>
          <w:attr w:name="Month" w:val="6"/>
          <w:attr w:name="Day" w:val="16"/>
          <w:attr w:name="Year" w:val="2000"/>
        </w:smartTagPr>
        <w:r w:rsidRPr="0001097C">
          <w:rPr>
            <w:rFonts w:ascii="Bodoni MT" w:eastAsia="Times New Roman" w:hAnsi="Bodoni MT" w:cs="Times New Roman"/>
            <w:sz w:val="24"/>
            <w:szCs w:val="24"/>
            <w:lang w:eastAsia="it-IT"/>
          </w:rPr>
          <w:t>16 giugno 2000</w:t>
        </w:r>
      </w:smartTag>
      <w:r w:rsidRPr="0001097C">
        <w:rPr>
          <w:rFonts w:ascii="Bodoni MT" w:eastAsia="Times New Roman" w:hAnsi="Bodoni MT" w:cs="Times New Roman"/>
          <w:sz w:val="24"/>
          <w:szCs w:val="24"/>
          <w:lang w:eastAsia="it-IT"/>
        </w:rPr>
        <w:t xml:space="preserve"> e successive modifiche; </w:t>
      </w:r>
    </w:p>
    <w:p w:rsidR="00703EEF" w:rsidRPr="0001097C" w:rsidRDefault="00703EEF" w:rsidP="00703EEF">
      <w:pPr>
        <w:spacing w:after="0" w:line="360" w:lineRule="auto"/>
        <w:ind w:firstLine="709"/>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 xml:space="preserve">VISTA la convenzione stipulata il </w:t>
      </w:r>
      <w:smartTag w:uri="urn:schemas-microsoft-com:office:smarttags" w:element="date">
        <w:smartTagPr>
          <w:attr w:name="ls" w:val="trans"/>
          <w:attr w:name="Month" w:val="6"/>
          <w:attr w:name="Day" w:val="16"/>
          <w:attr w:name="Year" w:val="2006"/>
        </w:smartTagPr>
        <w:r w:rsidRPr="0001097C">
          <w:rPr>
            <w:rFonts w:ascii="Bodoni MT" w:eastAsia="Times New Roman" w:hAnsi="Bodoni MT" w:cs="Times New Roman"/>
            <w:sz w:val="24"/>
            <w:szCs w:val="24"/>
            <w:lang w:eastAsia="it-IT"/>
          </w:rPr>
          <w:t>16 giugno 2006</w:t>
        </w:r>
      </w:smartTag>
      <w:r w:rsidRPr="0001097C">
        <w:rPr>
          <w:rFonts w:ascii="Bodoni MT" w:eastAsia="Times New Roman" w:hAnsi="Bodoni MT" w:cs="Times New Roman"/>
          <w:sz w:val="24"/>
          <w:szCs w:val="24"/>
          <w:lang w:eastAsia="it-IT"/>
        </w:rPr>
        <w:t xml:space="preserve"> tra Sezione regionale, Consiglio delle autonomie locali e Giunta regionale Toscana in materia di “ulteriori forme di collaborazione” tra Corte ed autonomie, ai sensi dell’art. 7, comma 8, della citata legge n. 131 del 2003;</w:t>
      </w:r>
    </w:p>
    <w:p w:rsidR="00703EEF" w:rsidRPr="0001097C" w:rsidRDefault="00703EEF" w:rsidP="00703EEF">
      <w:pPr>
        <w:spacing w:after="0" w:line="360" w:lineRule="auto"/>
        <w:ind w:firstLine="709"/>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 xml:space="preserve">UDITO il relatore, Cons. </w:t>
      </w:r>
      <w:r>
        <w:rPr>
          <w:rFonts w:ascii="Bodoni MT" w:eastAsia="Times New Roman" w:hAnsi="Bodoni MT" w:cs="Times New Roman"/>
          <w:sz w:val="24"/>
          <w:szCs w:val="24"/>
          <w:lang w:eastAsia="it-IT"/>
        </w:rPr>
        <w:t>Mauro Nori</w:t>
      </w:r>
      <w:r w:rsidRPr="0001097C">
        <w:rPr>
          <w:rFonts w:ascii="Bodoni MT" w:eastAsia="Times New Roman" w:hAnsi="Bodoni MT" w:cs="Times New Roman"/>
          <w:sz w:val="24"/>
          <w:szCs w:val="24"/>
          <w:lang w:eastAsia="it-IT"/>
        </w:rPr>
        <w:t>;</w:t>
      </w:r>
    </w:p>
    <w:p w:rsidR="00703EEF" w:rsidRDefault="00703EEF" w:rsidP="00703EEF">
      <w:pPr>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br w:type="page"/>
      </w:r>
    </w:p>
    <w:p w:rsidR="00703EEF" w:rsidRDefault="00703EEF" w:rsidP="00703EEF">
      <w:pPr>
        <w:spacing w:before="240" w:after="240" w:line="360" w:lineRule="auto"/>
        <w:jc w:val="center"/>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lastRenderedPageBreak/>
        <w:t>FATTO</w:t>
      </w:r>
    </w:p>
    <w:p w:rsidR="00703EEF" w:rsidRDefault="00703EEF" w:rsidP="00703EEF">
      <w:pPr>
        <w:spacing w:after="0" w:line="360" w:lineRule="auto"/>
        <w:ind w:firstLine="851"/>
        <w:contextualSpacing/>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Con nota del</w:t>
      </w:r>
      <w:r w:rsidR="009320EE">
        <w:rPr>
          <w:rFonts w:ascii="Bodoni MT" w:eastAsia="Times New Roman" w:hAnsi="Bodoni MT" w:cs="Times New Roman"/>
          <w:sz w:val="24"/>
          <w:szCs w:val="24"/>
          <w:lang w:eastAsia="it-IT"/>
        </w:rPr>
        <w:t xml:space="preserve"> 6 marzo 2017,</w:t>
      </w:r>
      <w:r w:rsidR="003D71C0">
        <w:rPr>
          <w:rFonts w:ascii="Bodoni MT" w:eastAsia="Times New Roman" w:hAnsi="Bodoni MT" w:cs="Times New Roman"/>
          <w:sz w:val="24"/>
          <w:szCs w:val="24"/>
          <w:lang w:eastAsia="it-IT"/>
        </w:rPr>
        <w:t xml:space="preserve"> prot.</w:t>
      </w:r>
      <w:r w:rsidR="009E0424">
        <w:rPr>
          <w:rFonts w:ascii="Bodoni MT" w:eastAsia="Times New Roman" w:hAnsi="Bodoni MT" w:cs="Times New Roman"/>
          <w:sz w:val="24"/>
          <w:szCs w:val="24"/>
          <w:lang w:eastAsia="it-IT"/>
        </w:rPr>
        <w:t xml:space="preserve"> </w:t>
      </w:r>
      <w:r w:rsidR="009320EE">
        <w:rPr>
          <w:rFonts w:ascii="Bodoni MT" w:eastAsia="Times New Roman" w:hAnsi="Bodoni MT" w:cs="Times New Roman"/>
          <w:sz w:val="24"/>
          <w:szCs w:val="24"/>
          <w:lang w:eastAsia="it-IT"/>
        </w:rPr>
        <w:t>4849</w:t>
      </w:r>
      <w:r>
        <w:rPr>
          <w:rFonts w:ascii="Bodoni MT" w:eastAsia="Times New Roman" w:hAnsi="Bodoni MT" w:cs="Times New Roman"/>
          <w:sz w:val="24"/>
          <w:szCs w:val="24"/>
          <w:lang w:eastAsia="it-IT"/>
        </w:rPr>
        <w:t>, inoltrata a mezzo posta certificata, il Consiglio delle Autonomie Locali inoltrava alla Sezione richiesta di parere avanzata dal comune di Arezzo, avente ad oggetto l’interpretazione</w:t>
      </w:r>
      <w:r w:rsidR="0002622F" w:rsidRPr="0002622F">
        <w:rPr>
          <w:rFonts w:ascii="Bodoni MT" w:eastAsia="Times New Roman" w:hAnsi="Bodoni MT" w:cs="Times New Roman"/>
          <w:sz w:val="24"/>
          <w:szCs w:val="24"/>
          <w:lang w:eastAsia="it-IT"/>
        </w:rPr>
        <w:t xml:space="preserve"> </w:t>
      </w:r>
      <w:r w:rsidR="0002622F">
        <w:rPr>
          <w:rFonts w:ascii="Bodoni MT" w:eastAsia="Times New Roman" w:hAnsi="Bodoni MT" w:cs="Times New Roman"/>
          <w:sz w:val="24"/>
          <w:szCs w:val="24"/>
          <w:lang w:eastAsia="it-IT"/>
        </w:rPr>
        <w:t>dell’art. 4, comma 1 decreto legge 6 marzo 2014, n. 16.</w:t>
      </w:r>
    </w:p>
    <w:p w:rsidR="0099605B" w:rsidRDefault="0099605B" w:rsidP="0099605B">
      <w:pPr>
        <w:spacing w:after="0" w:line="360" w:lineRule="auto"/>
        <w:ind w:left="12" w:firstLine="708"/>
        <w:contextualSpacing/>
        <w:jc w:val="both"/>
        <w:rPr>
          <w:rFonts w:ascii="Bodoni MT" w:hAnsi="Bodoni MT"/>
          <w:sz w:val="24"/>
          <w:szCs w:val="24"/>
          <w:lang w:eastAsia="it-IT"/>
        </w:rPr>
      </w:pPr>
      <w:r>
        <w:rPr>
          <w:rFonts w:ascii="Bodoni MT" w:hAnsi="Bodoni MT"/>
          <w:sz w:val="24"/>
          <w:szCs w:val="24"/>
          <w:lang w:eastAsia="it-IT"/>
        </w:rPr>
        <w:t>Ciò premesso, l’ente chiede di conoscere la portata interpretati</w:t>
      </w:r>
      <w:r w:rsidR="0002622F">
        <w:rPr>
          <w:rFonts w:ascii="Bodoni MT" w:hAnsi="Bodoni MT"/>
          <w:sz w:val="24"/>
          <w:szCs w:val="24"/>
          <w:lang w:eastAsia="it-IT"/>
        </w:rPr>
        <w:t>va di cui all’art. 4, comma 1 decreto-legge</w:t>
      </w:r>
      <w:r>
        <w:rPr>
          <w:rFonts w:ascii="Bodoni MT" w:hAnsi="Bodoni MT"/>
          <w:sz w:val="24"/>
          <w:szCs w:val="24"/>
          <w:lang w:eastAsia="it-IT"/>
        </w:rPr>
        <w:t xml:space="preserve"> 16/14, nel combinato disposto sia con le disposizioni che fissano i limiti alla costituzione dei fondi nella contrattazione collettiva di comparto, sia che siffatti limiti derivino da fonti legisla</w:t>
      </w:r>
      <w:r w:rsidR="003D71C0">
        <w:rPr>
          <w:rFonts w:ascii="Bodoni MT" w:hAnsi="Bodoni MT"/>
          <w:sz w:val="24"/>
          <w:szCs w:val="24"/>
          <w:lang w:eastAsia="it-IT"/>
        </w:rPr>
        <w:t>tiva – art. 9, comma 2-bis d.l.</w:t>
      </w:r>
      <w:r w:rsidR="009E0424">
        <w:rPr>
          <w:rFonts w:ascii="Bodoni MT" w:hAnsi="Bodoni MT"/>
          <w:sz w:val="24"/>
          <w:szCs w:val="24"/>
          <w:lang w:eastAsia="it-IT"/>
        </w:rPr>
        <w:t xml:space="preserve"> </w:t>
      </w:r>
      <w:r>
        <w:rPr>
          <w:rFonts w:ascii="Bodoni MT" w:hAnsi="Bodoni MT"/>
          <w:sz w:val="24"/>
          <w:szCs w:val="24"/>
          <w:lang w:eastAsia="it-IT"/>
        </w:rPr>
        <w:t>78/2010, art. 76, comma</w:t>
      </w:r>
      <w:r w:rsidR="003D71C0">
        <w:rPr>
          <w:rFonts w:ascii="Bodoni MT" w:hAnsi="Bodoni MT"/>
          <w:sz w:val="24"/>
          <w:szCs w:val="24"/>
          <w:lang w:eastAsia="it-IT"/>
        </w:rPr>
        <w:t xml:space="preserve"> 7, d.l.</w:t>
      </w:r>
      <w:r w:rsidR="009E0424">
        <w:rPr>
          <w:rFonts w:ascii="Bodoni MT" w:hAnsi="Bodoni MT"/>
          <w:sz w:val="24"/>
          <w:szCs w:val="24"/>
          <w:lang w:eastAsia="it-IT"/>
        </w:rPr>
        <w:t xml:space="preserve"> </w:t>
      </w:r>
      <w:r>
        <w:rPr>
          <w:rFonts w:ascii="Bodoni MT" w:hAnsi="Bodoni MT"/>
          <w:sz w:val="24"/>
          <w:szCs w:val="24"/>
          <w:lang w:eastAsia="it-IT"/>
        </w:rPr>
        <w:t>112/2008, abrogato dall’art. 3, comma 5, d.l. 90/2</w:t>
      </w:r>
      <w:r w:rsidR="003D71C0">
        <w:rPr>
          <w:rFonts w:ascii="Bodoni MT" w:hAnsi="Bodoni MT"/>
          <w:sz w:val="24"/>
          <w:szCs w:val="24"/>
          <w:lang w:eastAsia="it-IT"/>
        </w:rPr>
        <w:t>014, art. 1, commi 557 e 562 L.</w:t>
      </w:r>
      <w:r w:rsidR="009E0424">
        <w:rPr>
          <w:rFonts w:ascii="Bodoni MT" w:hAnsi="Bodoni MT"/>
          <w:sz w:val="24"/>
          <w:szCs w:val="24"/>
          <w:lang w:eastAsia="it-IT"/>
        </w:rPr>
        <w:t xml:space="preserve"> </w:t>
      </w:r>
      <w:r>
        <w:rPr>
          <w:rFonts w:ascii="Bodoni MT" w:hAnsi="Bodoni MT"/>
          <w:sz w:val="24"/>
          <w:szCs w:val="24"/>
          <w:lang w:eastAsia="it-IT"/>
        </w:rPr>
        <w:t>296/2000 – ed in particolar</w:t>
      </w:r>
      <w:r w:rsidR="00F742B9">
        <w:rPr>
          <w:rFonts w:ascii="Bodoni MT" w:hAnsi="Bodoni MT"/>
          <w:sz w:val="24"/>
          <w:szCs w:val="24"/>
          <w:lang w:eastAsia="it-IT"/>
        </w:rPr>
        <w:t>e, se</w:t>
      </w:r>
      <w:r>
        <w:rPr>
          <w:rFonts w:ascii="Bodoni MT" w:hAnsi="Bodoni MT"/>
          <w:sz w:val="24"/>
          <w:szCs w:val="24"/>
          <w:lang w:eastAsia="it-IT"/>
        </w:rPr>
        <w:t>:</w:t>
      </w:r>
    </w:p>
    <w:p w:rsidR="0099605B" w:rsidRDefault="0099605B" w:rsidP="0099605B">
      <w:pPr>
        <w:spacing w:after="0" w:line="360" w:lineRule="auto"/>
        <w:ind w:left="12" w:firstLine="708"/>
        <w:contextualSpacing/>
        <w:jc w:val="both"/>
        <w:rPr>
          <w:rFonts w:ascii="Bodoni MT" w:hAnsi="Bodoni MT"/>
          <w:sz w:val="24"/>
          <w:szCs w:val="24"/>
          <w:lang w:eastAsia="it-IT"/>
        </w:rPr>
      </w:pPr>
    </w:p>
    <w:p w:rsidR="0099605B" w:rsidRDefault="0099605B" w:rsidP="0099605B">
      <w:pPr>
        <w:pStyle w:val="Paragrafoelenco"/>
        <w:numPr>
          <w:ilvl w:val="0"/>
          <w:numId w:val="4"/>
        </w:numPr>
        <w:spacing w:after="0" w:line="360" w:lineRule="auto"/>
        <w:jc w:val="both"/>
        <w:rPr>
          <w:rFonts w:ascii="Bodoni MT" w:hAnsi="Bodoni MT"/>
          <w:sz w:val="24"/>
          <w:szCs w:val="24"/>
          <w:lang w:eastAsia="it-IT"/>
        </w:rPr>
      </w:pPr>
      <w:r>
        <w:rPr>
          <w:rFonts w:ascii="Bodoni MT" w:hAnsi="Bodoni MT"/>
          <w:sz w:val="24"/>
          <w:szCs w:val="24"/>
          <w:lang w:eastAsia="it-IT"/>
        </w:rPr>
        <w:t>Sia possibile, in sede di ridefinizione dei fondi da parte del dirigente competente e, di conseguenza, nei piani di recupero, inserire, quali importi in aggiunta (in quanto non già inseriti in sede di costituzione dei fondi delle annualità di riferimento) il differenziale delle progressioni economiche orizzontali (conformemente a quanto disposto dalla dichiarazione congiunta n. 14 allegata al CCNL del 22.1.2004, Orientamento applicativo ARAN RAL_1725). In altre parole si chiede se l’inserimento delle somme derivanti dal differenziale delle progressioni economiche orizzontali conseguenti alle cessazioni, a qualunque titolo, del personale dipendente costituisca un obbligo per l’ente ovvero una mera facoltà. In quest’ultimo caso, il mancato inserimento per le annualità pregresse potrebbe essere inteso come avvenuto esercizio di tale facoltà, con conseguente impossibilità di inserimento oggi, in sede di ricostruzione dei fondi, degli importi relativi.</w:t>
      </w:r>
    </w:p>
    <w:p w:rsidR="0099605B" w:rsidRDefault="0099605B" w:rsidP="0099605B">
      <w:pPr>
        <w:pStyle w:val="Paragrafoelenco"/>
        <w:spacing w:after="0" w:line="360" w:lineRule="auto"/>
        <w:ind w:left="1069"/>
        <w:jc w:val="both"/>
        <w:rPr>
          <w:rFonts w:ascii="Bodoni MT" w:hAnsi="Bodoni MT"/>
          <w:sz w:val="24"/>
          <w:szCs w:val="24"/>
          <w:lang w:eastAsia="it-IT"/>
        </w:rPr>
      </w:pPr>
    </w:p>
    <w:p w:rsidR="0099605B" w:rsidRDefault="0099605B" w:rsidP="0099605B">
      <w:pPr>
        <w:pStyle w:val="Paragrafoelenco"/>
        <w:numPr>
          <w:ilvl w:val="0"/>
          <w:numId w:val="4"/>
        </w:numPr>
        <w:spacing w:after="0" w:line="360" w:lineRule="auto"/>
        <w:jc w:val="both"/>
        <w:rPr>
          <w:rFonts w:ascii="Bodoni MT" w:hAnsi="Bodoni MT"/>
          <w:sz w:val="24"/>
          <w:szCs w:val="24"/>
          <w:lang w:eastAsia="it-IT"/>
        </w:rPr>
      </w:pPr>
      <w:r w:rsidRPr="0099605B">
        <w:rPr>
          <w:rFonts w:ascii="Bodoni MT" w:hAnsi="Bodoni MT"/>
          <w:sz w:val="24"/>
          <w:szCs w:val="24"/>
          <w:lang w:eastAsia="it-IT"/>
        </w:rPr>
        <w:t xml:space="preserve">La fattispecie di cui all’art. 4 comma 1, DL 16/14, possa riguardare anche i recuperi </w:t>
      </w:r>
      <w:r>
        <w:rPr>
          <w:rFonts w:ascii="Bodoni MT" w:hAnsi="Bodoni MT"/>
          <w:sz w:val="24"/>
          <w:szCs w:val="24"/>
          <w:lang w:eastAsia="it-IT"/>
        </w:rPr>
        <w:t>relativi all</w:t>
      </w:r>
      <w:r w:rsidR="008E20AF">
        <w:rPr>
          <w:rFonts w:ascii="Bodoni MT" w:hAnsi="Bodoni MT"/>
          <w:sz w:val="24"/>
          <w:szCs w:val="24"/>
          <w:lang w:eastAsia="it-IT"/>
        </w:rPr>
        <w:t>’erronea costituzione dei fondi</w:t>
      </w:r>
      <w:r>
        <w:rPr>
          <w:rFonts w:ascii="Bodoni MT" w:hAnsi="Bodoni MT"/>
          <w:sz w:val="24"/>
          <w:szCs w:val="24"/>
          <w:lang w:eastAsia="it-IT"/>
        </w:rPr>
        <w:t>.</w:t>
      </w:r>
    </w:p>
    <w:p w:rsidR="0099605B" w:rsidRPr="0099605B" w:rsidRDefault="0099605B" w:rsidP="0099605B">
      <w:pPr>
        <w:pStyle w:val="Paragrafoelenco"/>
        <w:rPr>
          <w:rFonts w:ascii="Bodoni MT" w:hAnsi="Bodoni MT"/>
          <w:sz w:val="24"/>
          <w:szCs w:val="24"/>
          <w:lang w:eastAsia="it-IT"/>
        </w:rPr>
      </w:pPr>
    </w:p>
    <w:p w:rsidR="0099605B" w:rsidRPr="0099605B" w:rsidRDefault="0099605B" w:rsidP="0099605B">
      <w:pPr>
        <w:pStyle w:val="Paragrafoelenco"/>
        <w:numPr>
          <w:ilvl w:val="0"/>
          <w:numId w:val="4"/>
        </w:numPr>
        <w:spacing w:after="0" w:line="360" w:lineRule="auto"/>
        <w:jc w:val="both"/>
        <w:rPr>
          <w:rFonts w:ascii="Bodoni MT" w:hAnsi="Bodoni MT"/>
          <w:sz w:val="24"/>
          <w:szCs w:val="24"/>
          <w:lang w:eastAsia="it-IT"/>
        </w:rPr>
      </w:pPr>
      <w:r w:rsidRPr="0099605B">
        <w:rPr>
          <w:rFonts w:ascii="Bodoni MT" w:hAnsi="Bodoni MT"/>
          <w:sz w:val="24"/>
          <w:szCs w:val="24"/>
          <w:lang w:eastAsia="it-IT"/>
        </w:rPr>
        <w:lastRenderedPageBreak/>
        <w:t>L’ente possa procedere al recupero delle somme erogate in eccesso attraverso l’applicazione dell’art. 4, comma 2</w:t>
      </w:r>
      <w:r w:rsidR="003D71C0">
        <w:rPr>
          <w:rFonts w:ascii="Bodoni MT" w:hAnsi="Bodoni MT"/>
          <w:sz w:val="24"/>
          <w:szCs w:val="24"/>
          <w:lang w:eastAsia="it-IT"/>
        </w:rPr>
        <w:t>, DL 16/14 e art. 1 comma 226 L</w:t>
      </w:r>
      <w:r w:rsidR="009E0424">
        <w:rPr>
          <w:rFonts w:ascii="Bodoni MT" w:hAnsi="Bodoni MT"/>
          <w:sz w:val="24"/>
          <w:szCs w:val="24"/>
          <w:lang w:eastAsia="it-IT"/>
        </w:rPr>
        <w:t xml:space="preserve"> </w:t>
      </w:r>
      <w:r w:rsidRPr="0099605B">
        <w:rPr>
          <w:rFonts w:ascii="Bodoni MT" w:hAnsi="Bodoni MT"/>
          <w:sz w:val="24"/>
          <w:szCs w:val="24"/>
          <w:lang w:eastAsia="it-IT"/>
        </w:rPr>
        <w:t>208/15, che prevedono la possibilità per le regioni e gli enti locali che hanno conseguito gli obiettivi di finanza pubblica di compensare le somme da recuperare anche attraverso l’utilizzo dei risparmi conseguenti al mancato utilizzo dei resti assunzionali dell’ultimo triennio, calcolati in conformità a</w:t>
      </w:r>
      <w:r w:rsidR="00042FBB">
        <w:rPr>
          <w:rFonts w:ascii="Bodoni MT" w:hAnsi="Bodoni MT"/>
          <w:sz w:val="24"/>
          <w:szCs w:val="24"/>
          <w:lang w:eastAsia="it-IT"/>
        </w:rPr>
        <w:t>ll’articolo 1, comma 228, legge</w:t>
      </w:r>
      <w:r w:rsidR="009E0424">
        <w:rPr>
          <w:rFonts w:ascii="Bodoni MT" w:hAnsi="Bodoni MT"/>
          <w:sz w:val="24"/>
          <w:szCs w:val="24"/>
          <w:lang w:eastAsia="it-IT"/>
        </w:rPr>
        <w:t xml:space="preserve"> </w:t>
      </w:r>
      <w:r w:rsidRPr="0099605B">
        <w:rPr>
          <w:rFonts w:ascii="Bodoni MT" w:hAnsi="Bodoni MT"/>
          <w:sz w:val="24"/>
          <w:szCs w:val="24"/>
          <w:lang w:eastAsia="it-IT"/>
        </w:rPr>
        <w:t>208/2015.</w:t>
      </w:r>
    </w:p>
    <w:p w:rsidR="0099605B" w:rsidRDefault="0099605B" w:rsidP="0099605B">
      <w:pPr>
        <w:rPr>
          <w:rFonts w:ascii="Calibri" w:hAnsi="Calibri"/>
        </w:rPr>
      </w:pPr>
    </w:p>
    <w:p w:rsidR="00A85067" w:rsidRPr="0001097C" w:rsidRDefault="00A85067" w:rsidP="00A85067">
      <w:pPr>
        <w:spacing w:before="240" w:after="240" w:line="360" w:lineRule="auto"/>
        <w:jc w:val="center"/>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DIRITTO</w:t>
      </w:r>
    </w:p>
    <w:p w:rsidR="00A85067" w:rsidRPr="0001097C" w:rsidRDefault="00A85067" w:rsidP="00A85067">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O</w:t>
      </w:r>
      <w:r w:rsidRPr="0001097C">
        <w:rPr>
          <w:rFonts w:ascii="Bodoni MT" w:eastAsia="Times New Roman" w:hAnsi="Bodoni MT" w:cs="Times New Roman"/>
          <w:sz w:val="24"/>
          <w:szCs w:val="24"/>
          <w:lang w:eastAsia="it-IT"/>
        </w:rPr>
        <w:t xml:space="preserve">ccorre verificare in via preliminare </w:t>
      </w:r>
      <w:r>
        <w:rPr>
          <w:rFonts w:ascii="Bodoni MT" w:eastAsia="Times New Roman" w:hAnsi="Bodoni MT" w:cs="Times New Roman"/>
          <w:sz w:val="24"/>
          <w:szCs w:val="24"/>
          <w:lang w:eastAsia="it-IT"/>
        </w:rPr>
        <w:t>l’integrazione de</w:t>
      </w:r>
      <w:r w:rsidRPr="0001097C">
        <w:rPr>
          <w:rFonts w:ascii="Bodoni MT" w:eastAsia="Times New Roman" w:hAnsi="Bodoni MT" w:cs="Times New Roman"/>
          <w:sz w:val="24"/>
          <w:szCs w:val="24"/>
          <w:lang w:eastAsia="it-IT"/>
        </w:rPr>
        <w:t>i necessari requisiti di ammissibilità, sia sotto il profilo soggettivo, con riferimento alla legittimazione dell’organo richiedente, sia sotto il profilo oggettivo, concernente l’attinenza alla materia della contabilità pubblica</w:t>
      </w:r>
      <w:r w:rsidR="00121B88">
        <w:rPr>
          <w:rFonts w:ascii="Bodoni MT" w:eastAsia="Times New Roman" w:hAnsi="Bodoni MT" w:cs="Times New Roman"/>
          <w:sz w:val="24"/>
          <w:szCs w:val="24"/>
          <w:lang w:eastAsia="it-IT"/>
        </w:rPr>
        <w:t xml:space="preserve"> e la generalità ed astrattezza del quesito</w:t>
      </w:r>
      <w:r w:rsidRPr="0001097C">
        <w:rPr>
          <w:rFonts w:ascii="Bodoni MT" w:eastAsia="Times New Roman" w:hAnsi="Bodoni MT" w:cs="Times New Roman"/>
          <w:sz w:val="24"/>
          <w:szCs w:val="24"/>
          <w:lang w:eastAsia="it-IT"/>
        </w:rPr>
        <w:t>.</w:t>
      </w:r>
    </w:p>
    <w:p w:rsidR="00094D11" w:rsidRDefault="00A85067" w:rsidP="00A85067">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Nel caso in esame, il parere è</w:t>
      </w:r>
      <w:r w:rsidRPr="0001097C">
        <w:rPr>
          <w:rFonts w:ascii="Bodoni MT" w:eastAsia="Times New Roman" w:hAnsi="Bodoni MT" w:cs="Times New Roman"/>
          <w:sz w:val="24"/>
          <w:szCs w:val="24"/>
          <w:lang w:eastAsia="it-IT"/>
        </w:rPr>
        <w:t xml:space="preserve"> ammissibile sotto il profilo soggettivo, in quanto</w:t>
      </w:r>
      <w:r>
        <w:rPr>
          <w:rFonts w:ascii="Bodoni MT" w:eastAsia="Times New Roman" w:hAnsi="Bodoni MT" w:cs="Times New Roman"/>
          <w:sz w:val="24"/>
          <w:szCs w:val="24"/>
          <w:lang w:eastAsia="it-IT"/>
        </w:rPr>
        <w:t xml:space="preserve"> inoltrato dal legale rappresentate dell’ente, per il tramite del Consiglio delle Autonomie Locali.</w:t>
      </w:r>
      <w:r w:rsidRPr="00574148">
        <w:rPr>
          <w:rFonts w:ascii="Bodoni MT" w:eastAsia="Times New Roman" w:hAnsi="Bodoni MT" w:cs="Times New Roman"/>
          <w:sz w:val="24"/>
          <w:szCs w:val="24"/>
          <w:lang w:eastAsia="it-IT"/>
        </w:rPr>
        <w:t xml:space="preserve"> </w:t>
      </w:r>
    </w:p>
    <w:p w:rsidR="00613859" w:rsidRDefault="000E3A7C" w:rsidP="00A85067">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Sul piano dell’ammissibilità oggettiva, </w:t>
      </w:r>
      <w:r w:rsidR="00BB039E">
        <w:rPr>
          <w:rFonts w:ascii="Bodoni MT" w:eastAsia="Times New Roman" w:hAnsi="Bodoni MT" w:cs="Times New Roman"/>
          <w:sz w:val="24"/>
          <w:szCs w:val="24"/>
          <w:lang w:eastAsia="it-IT"/>
        </w:rPr>
        <w:t>la richiesta di parere è parzialmente inammissibil</w:t>
      </w:r>
      <w:r w:rsidR="00666259">
        <w:rPr>
          <w:rFonts w:ascii="Bodoni MT" w:eastAsia="Times New Roman" w:hAnsi="Bodoni MT" w:cs="Times New Roman"/>
          <w:sz w:val="24"/>
          <w:szCs w:val="24"/>
          <w:lang w:eastAsia="it-IT"/>
        </w:rPr>
        <w:t>e, sotto i profili che si esplicite</w:t>
      </w:r>
      <w:r w:rsidR="00BB039E">
        <w:rPr>
          <w:rFonts w:ascii="Bodoni MT" w:eastAsia="Times New Roman" w:hAnsi="Bodoni MT" w:cs="Times New Roman"/>
          <w:sz w:val="24"/>
          <w:szCs w:val="24"/>
          <w:lang w:eastAsia="it-IT"/>
        </w:rPr>
        <w:t xml:space="preserve">ranno. </w:t>
      </w:r>
    </w:p>
    <w:p w:rsidR="000E3A7C" w:rsidRDefault="00BB039E" w:rsidP="00A85067">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Al riguardo, </w:t>
      </w:r>
      <w:r w:rsidR="000E3A7C">
        <w:rPr>
          <w:rFonts w:ascii="Bodoni MT" w:eastAsia="Times New Roman" w:hAnsi="Bodoni MT" w:cs="Times New Roman"/>
          <w:sz w:val="24"/>
          <w:szCs w:val="24"/>
          <w:lang w:eastAsia="it-IT"/>
        </w:rPr>
        <w:t xml:space="preserve">si rammenta che la Corte dei Conti, secondo il disposto dell’art. 7, comma 8, della L. n. 131/2003, può rendere pareri in materia di </w:t>
      </w:r>
      <w:r w:rsidR="000E3A7C" w:rsidRPr="000E3A7C">
        <w:rPr>
          <w:rFonts w:ascii="Bodoni MT" w:eastAsia="Times New Roman" w:hAnsi="Bodoni MT" w:cs="Times New Roman"/>
          <w:i/>
          <w:sz w:val="24"/>
          <w:szCs w:val="24"/>
          <w:lang w:eastAsia="it-IT"/>
        </w:rPr>
        <w:t>“contabilità pubblica”</w:t>
      </w:r>
      <w:r w:rsidR="000E3A7C">
        <w:rPr>
          <w:rFonts w:ascii="Bodoni MT" w:eastAsia="Times New Roman" w:hAnsi="Bodoni MT" w:cs="Times New Roman"/>
          <w:sz w:val="24"/>
          <w:szCs w:val="24"/>
          <w:lang w:eastAsia="it-IT"/>
        </w:rPr>
        <w:t>.</w:t>
      </w:r>
    </w:p>
    <w:p w:rsidR="000E3A7C" w:rsidRDefault="000E3A7C" w:rsidP="00A85067">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Le Sezioni Riunite, con la deliberazione n. 54 del 17.11.2010, condividendo l’orientamento già espresso dalla Sezione delle Autonomie con la Delibera</w:t>
      </w:r>
      <w:r w:rsidR="004F36A6">
        <w:rPr>
          <w:rFonts w:ascii="Bodoni MT" w:eastAsia="Times New Roman" w:hAnsi="Bodoni MT" w:cs="Times New Roman"/>
          <w:sz w:val="24"/>
          <w:szCs w:val="24"/>
          <w:lang w:eastAsia="it-IT"/>
        </w:rPr>
        <w:t>zione n. 5 del 17.02.2006, hanno</w:t>
      </w:r>
      <w:r>
        <w:rPr>
          <w:rFonts w:ascii="Bodoni MT" w:eastAsia="Times New Roman" w:hAnsi="Bodoni MT" w:cs="Times New Roman"/>
          <w:sz w:val="24"/>
          <w:szCs w:val="24"/>
          <w:lang w:eastAsia="it-IT"/>
        </w:rPr>
        <w:t xml:space="preserve"> affermato che la nozione di </w:t>
      </w:r>
      <w:r w:rsidRPr="000E3A7C">
        <w:rPr>
          <w:rFonts w:ascii="Bodoni MT" w:eastAsia="Times New Roman" w:hAnsi="Bodoni MT" w:cs="Times New Roman"/>
          <w:i/>
          <w:sz w:val="24"/>
          <w:szCs w:val="24"/>
          <w:lang w:eastAsia="it-IT"/>
        </w:rPr>
        <w:t>“contabilità pubblica”</w:t>
      </w:r>
      <w:r>
        <w:rPr>
          <w:rFonts w:ascii="Bodoni MT" w:eastAsia="Times New Roman" w:hAnsi="Bodoni MT" w:cs="Times New Roman"/>
          <w:sz w:val="24"/>
          <w:szCs w:val="24"/>
          <w:lang w:eastAsia="it-IT"/>
        </w:rPr>
        <w:t xml:space="preserve"> strumentale alla funzione consultiva deve assumere un ambito limitato alle normative ed ai relativi atti applicativi che disciplinano l’attività finanziaria che precede o che segue i distinti interventi di settore, ricomprendendo in particolare la disciplina inerente la gestione dei </w:t>
      </w:r>
      <w:r w:rsidR="004F36A6">
        <w:rPr>
          <w:rFonts w:ascii="Bodoni MT" w:eastAsia="Times New Roman" w:hAnsi="Bodoni MT" w:cs="Times New Roman"/>
          <w:sz w:val="24"/>
          <w:szCs w:val="24"/>
          <w:lang w:eastAsia="it-IT"/>
        </w:rPr>
        <w:t>bilanci ed i relativi equilibri</w:t>
      </w:r>
      <w:r>
        <w:rPr>
          <w:rFonts w:ascii="Bodoni MT" w:eastAsia="Times New Roman" w:hAnsi="Bodoni MT" w:cs="Times New Roman"/>
          <w:sz w:val="24"/>
          <w:szCs w:val="24"/>
          <w:lang w:eastAsia="it-IT"/>
        </w:rPr>
        <w:t>, l’acquisizione delle entrate, l’organizzazione finanziaria-contabile, la gestione delle spese, la disciplina del patrimonio, l’indebitamento, la rendicontazione ed i relativi controlli.</w:t>
      </w:r>
    </w:p>
    <w:p w:rsidR="000E3A7C" w:rsidRDefault="000E3A7C" w:rsidP="00A85067">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lastRenderedPageBreak/>
        <w:t xml:space="preserve">Per consolidato orientamento di questa sezione e più in generale delle sezioni regionali di controllo, la funzione consultiva assegnata alla Corte dei Conti deve trattare ambiti ed oggetti di portata generale </w:t>
      </w:r>
      <w:r w:rsidR="00466D96">
        <w:rPr>
          <w:rFonts w:ascii="Bodoni MT" w:eastAsia="Times New Roman" w:hAnsi="Bodoni MT" w:cs="Times New Roman"/>
          <w:sz w:val="24"/>
          <w:szCs w:val="24"/>
          <w:lang w:eastAsia="it-IT"/>
        </w:rPr>
        <w:t>e non fatti gestionali specifici; non può riguardare provvedimenti già formalmente adottati, non potendo tramutarsi in una verifica postuma di legittimità, e non può interferire con le funzioni assegnate ad altre Magistrature o alla stessa Corte</w:t>
      </w:r>
      <w:r w:rsidR="00726F29">
        <w:rPr>
          <w:rFonts w:ascii="Bodoni MT" w:eastAsia="Times New Roman" w:hAnsi="Bodoni MT" w:cs="Times New Roman"/>
          <w:sz w:val="24"/>
          <w:szCs w:val="24"/>
          <w:lang w:eastAsia="it-IT"/>
        </w:rPr>
        <w:t xml:space="preserve"> sotto altri profili</w:t>
      </w:r>
      <w:r w:rsidR="00466D96">
        <w:rPr>
          <w:rFonts w:ascii="Bodoni MT" w:eastAsia="Times New Roman" w:hAnsi="Bodoni MT" w:cs="Times New Roman"/>
          <w:sz w:val="24"/>
          <w:szCs w:val="24"/>
          <w:lang w:eastAsia="it-IT"/>
        </w:rPr>
        <w:t>.</w:t>
      </w:r>
    </w:p>
    <w:p w:rsidR="00EA4FE9" w:rsidRDefault="00466D96" w:rsidP="00D8038C">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Ciò premesso, </w:t>
      </w:r>
      <w:r w:rsidR="00BB039E">
        <w:rPr>
          <w:rFonts w:ascii="Bodoni MT" w:eastAsia="Times New Roman" w:hAnsi="Bodoni MT" w:cs="Times New Roman"/>
          <w:sz w:val="24"/>
          <w:szCs w:val="24"/>
          <w:lang w:eastAsia="it-IT"/>
        </w:rPr>
        <w:t>è indubbio che al punto n. 1 la richiesta di parere, fi</w:t>
      </w:r>
      <w:r w:rsidR="00AF06BF">
        <w:rPr>
          <w:rFonts w:ascii="Bodoni MT" w:eastAsia="Times New Roman" w:hAnsi="Bodoni MT" w:cs="Times New Roman"/>
          <w:sz w:val="24"/>
          <w:szCs w:val="24"/>
          <w:lang w:eastAsia="it-IT"/>
        </w:rPr>
        <w:t>nalizzata a risolvere un quesito</w:t>
      </w:r>
      <w:r w:rsidR="00BB039E">
        <w:rPr>
          <w:rFonts w:ascii="Bodoni MT" w:eastAsia="Times New Roman" w:hAnsi="Bodoni MT" w:cs="Times New Roman"/>
          <w:sz w:val="24"/>
          <w:szCs w:val="24"/>
          <w:lang w:eastAsia="it-IT"/>
        </w:rPr>
        <w:t xml:space="preserve"> concreto porta ad escludere l’esistenza del presupposto oggettivo con riferimento a</w:t>
      </w:r>
      <w:r w:rsidR="00AF06BF">
        <w:rPr>
          <w:rFonts w:ascii="Bodoni MT" w:eastAsia="Times New Roman" w:hAnsi="Bodoni MT" w:cs="Times New Roman"/>
          <w:sz w:val="24"/>
          <w:szCs w:val="24"/>
          <w:lang w:eastAsia="it-IT"/>
        </w:rPr>
        <w:t>ll’assenza di</w:t>
      </w:r>
      <w:r w:rsidR="00BB039E">
        <w:rPr>
          <w:rFonts w:ascii="Bodoni MT" w:eastAsia="Times New Roman" w:hAnsi="Bodoni MT" w:cs="Times New Roman"/>
          <w:sz w:val="24"/>
          <w:szCs w:val="24"/>
          <w:lang w:eastAsia="it-IT"/>
        </w:rPr>
        <w:t xml:space="preserve"> generalità ed astrattezza della questione sottostante al quesito</w:t>
      </w:r>
      <w:r w:rsidR="00AF06BF">
        <w:rPr>
          <w:rFonts w:ascii="Bodoni MT" w:eastAsia="Times New Roman" w:hAnsi="Bodoni MT" w:cs="Times New Roman"/>
          <w:sz w:val="24"/>
          <w:szCs w:val="24"/>
          <w:lang w:eastAsia="it-IT"/>
        </w:rPr>
        <w:t>, al fine di evitare</w:t>
      </w:r>
      <w:r w:rsidR="00BB039E">
        <w:rPr>
          <w:rFonts w:ascii="Bodoni MT" w:eastAsia="Times New Roman" w:hAnsi="Bodoni MT" w:cs="Times New Roman"/>
          <w:sz w:val="24"/>
          <w:szCs w:val="24"/>
          <w:lang w:eastAsia="it-IT"/>
        </w:rPr>
        <w:t xml:space="preserve"> che la richiesta di parere abbia come scopo</w:t>
      </w:r>
      <w:r w:rsidR="00AF06BF">
        <w:rPr>
          <w:rFonts w:ascii="Bodoni MT" w:eastAsia="Times New Roman" w:hAnsi="Bodoni MT" w:cs="Times New Roman"/>
          <w:sz w:val="24"/>
          <w:szCs w:val="24"/>
          <w:lang w:eastAsia="it-IT"/>
        </w:rPr>
        <w:t xml:space="preserve"> l’opportunità di ricevere is</w:t>
      </w:r>
      <w:r w:rsidR="004F36A6">
        <w:rPr>
          <w:rFonts w:ascii="Bodoni MT" w:eastAsia="Times New Roman" w:hAnsi="Bodoni MT" w:cs="Times New Roman"/>
          <w:sz w:val="24"/>
          <w:szCs w:val="24"/>
          <w:lang w:eastAsia="it-IT"/>
        </w:rPr>
        <w:t xml:space="preserve">truzioni puntuali </w:t>
      </w:r>
      <w:r w:rsidR="00AF06BF">
        <w:rPr>
          <w:rFonts w:ascii="Bodoni MT" w:eastAsia="Times New Roman" w:hAnsi="Bodoni MT" w:cs="Times New Roman"/>
          <w:sz w:val="24"/>
          <w:szCs w:val="24"/>
          <w:lang w:eastAsia="it-IT"/>
        </w:rPr>
        <w:t xml:space="preserve">su ipotesi concrete che potrebbero essere oggetto di apprezzamento di altre funzioni della Corte dei Conti o di altri organi </w:t>
      </w:r>
      <w:r w:rsidR="004F36A6">
        <w:rPr>
          <w:rFonts w:ascii="Bodoni MT" w:eastAsia="Times New Roman" w:hAnsi="Bodoni MT" w:cs="Times New Roman"/>
          <w:sz w:val="24"/>
          <w:szCs w:val="24"/>
          <w:lang w:eastAsia="it-IT"/>
        </w:rPr>
        <w:t>M</w:t>
      </w:r>
      <w:r w:rsidR="00AF06BF">
        <w:rPr>
          <w:rFonts w:ascii="Bodoni MT" w:eastAsia="Times New Roman" w:hAnsi="Bodoni MT" w:cs="Times New Roman"/>
          <w:sz w:val="24"/>
          <w:szCs w:val="24"/>
          <w:lang w:eastAsia="it-IT"/>
        </w:rPr>
        <w:t>agistratuali.</w:t>
      </w:r>
    </w:p>
    <w:p w:rsidR="008133F5" w:rsidRDefault="00F33888" w:rsidP="00D8038C">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Per ciò che attiene al punto n. 2 del</w:t>
      </w:r>
      <w:r w:rsidR="002B3D0C">
        <w:rPr>
          <w:rFonts w:ascii="Bodoni MT" w:eastAsia="Times New Roman" w:hAnsi="Bodoni MT" w:cs="Times New Roman"/>
          <w:sz w:val="24"/>
          <w:szCs w:val="24"/>
          <w:lang w:eastAsia="it-IT"/>
        </w:rPr>
        <w:t xml:space="preserve">la presente richiesta di parere, </w:t>
      </w:r>
      <w:r w:rsidR="008133F5">
        <w:rPr>
          <w:rFonts w:ascii="Bodoni MT" w:eastAsia="Times New Roman" w:hAnsi="Bodoni MT" w:cs="Times New Roman"/>
          <w:sz w:val="24"/>
          <w:szCs w:val="24"/>
          <w:lang w:eastAsia="it-IT"/>
        </w:rPr>
        <w:t>si sottolinea quanto segue.</w:t>
      </w:r>
    </w:p>
    <w:p w:rsidR="008133F5" w:rsidRDefault="008133F5" w:rsidP="008133F5">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In via preliminare si osserva che la ricostruzione del fondo per il salario accessorio per la parte afferente </w:t>
      </w:r>
      <w:r w:rsidRPr="001620B7">
        <w:rPr>
          <w:rFonts w:ascii="Bodoni MT" w:eastAsia="Times New Roman" w:hAnsi="Bodoni MT" w:cs="Times New Roman"/>
          <w:i/>
          <w:sz w:val="24"/>
          <w:szCs w:val="24"/>
          <w:lang w:eastAsia="it-IT"/>
        </w:rPr>
        <w:t>“le risorse aventi carattere di certezza, stabilità e continuità […] vengono definite in un unico importo che resta confermato, con le stesse caratteristiche, anche per gli anni successivi</w:t>
      </w:r>
      <w:r>
        <w:rPr>
          <w:rFonts w:ascii="Bodoni MT" w:eastAsia="Times New Roman" w:hAnsi="Bodoni MT" w:cs="Times New Roman"/>
          <w:i/>
          <w:sz w:val="24"/>
          <w:szCs w:val="24"/>
          <w:lang w:eastAsia="it-IT"/>
        </w:rPr>
        <w:t>”</w:t>
      </w:r>
      <w:r w:rsidRPr="001620B7">
        <w:rPr>
          <w:rFonts w:ascii="Bodoni MT" w:eastAsia="Times New Roman" w:hAnsi="Bodoni MT" w:cs="Times New Roman"/>
          <w:sz w:val="24"/>
          <w:szCs w:val="24"/>
          <w:lang w:eastAsia="it-IT"/>
        </w:rPr>
        <w:t xml:space="preserve"> </w:t>
      </w:r>
      <w:r>
        <w:rPr>
          <w:rFonts w:ascii="Bodoni MT" w:eastAsia="Times New Roman" w:hAnsi="Bodoni MT" w:cs="Times New Roman"/>
          <w:sz w:val="24"/>
          <w:szCs w:val="24"/>
          <w:lang w:eastAsia="it-IT"/>
        </w:rPr>
        <w:t>(art. 31 CCNL 22.1.2004), pertanto, fermo restando disposizioni normative vigenti, la ricostruzione delle partite che costituiscono il fondo - ancorch</w:t>
      </w:r>
      <w:r w:rsidR="0086030F">
        <w:rPr>
          <w:rFonts w:ascii="Bodoni MT" w:eastAsia="Times New Roman" w:hAnsi="Bodoni MT" w:cs="Times New Roman"/>
          <w:sz w:val="24"/>
          <w:szCs w:val="24"/>
          <w:lang w:eastAsia="it-IT"/>
        </w:rPr>
        <w:t>é</w:t>
      </w:r>
      <w:r>
        <w:rPr>
          <w:rFonts w:ascii="Bodoni MT" w:eastAsia="Times New Roman" w:hAnsi="Bodoni MT" w:cs="Times New Roman"/>
          <w:sz w:val="24"/>
          <w:szCs w:val="24"/>
          <w:lang w:eastAsia="it-IT"/>
        </w:rPr>
        <w:t xml:space="preserve"> di complessa articolazione e sempre basata su elementi cert</w:t>
      </w:r>
      <w:r w:rsidR="00280780">
        <w:rPr>
          <w:rFonts w:ascii="Bodoni MT" w:eastAsia="Times New Roman" w:hAnsi="Bodoni MT" w:cs="Times New Roman"/>
          <w:sz w:val="24"/>
          <w:szCs w:val="24"/>
          <w:lang w:eastAsia="it-IT"/>
        </w:rPr>
        <w:t>i</w:t>
      </w:r>
      <w:r>
        <w:rPr>
          <w:rFonts w:ascii="Bodoni MT" w:eastAsia="Times New Roman" w:hAnsi="Bodoni MT" w:cs="Times New Roman"/>
          <w:sz w:val="24"/>
          <w:szCs w:val="24"/>
          <w:lang w:eastAsia="it-IT"/>
        </w:rPr>
        <w:t xml:space="preserve">, può essere effettuata limitatamente alle </w:t>
      </w:r>
      <w:r w:rsidRPr="001620B7">
        <w:rPr>
          <w:rFonts w:ascii="Bodoni MT" w:eastAsia="Times New Roman" w:hAnsi="Bodoni MT" w:cs="Times New Roman"/>
          <w:i/>
          <w:sz w:val="24"/>
          <w:szCs w:val="24"/>
          <w:lang w:eastAsia="it-IT"/>
        </w:rPr>
        <w:t>“risorse aventi carattere di certezza, stabilità e continuità</w:t>
      </w:r>
      <w:r w:rsidR="009E0424">
        <w:rPr>
          <w:rFonts w:ascii="Bodoni MT" w:eastAsia="Times New Roman" w:hAnsi="Bodoni MT" w:cs="Times New Roman"/>
          <w:i/>
          <w:sz w:val="24"/>
          <w:szCs w:val="24"/>
          <w:lang w:eastAsia="it-IT"/>
        </w:rPr>
        <w:t>”,</w:t>
      </w:r>
      <w:r w:rsidRPr="001620B7">
        <w:rPr>
          <w:rFonts w:ascii="Bodoni MT" w:eastAsia="Times New Roman" w:hAnsi="Bodoni MT" w:cs="Times New Roman"/>
          <w:i/>
          <w:sz w:val="24"/>
          <w:szCs w:val="24"/>
          <w:lang w:eastAsia="it-IT"/>
        </w:rPr>
        <w:t xml:space="preserve"> </w:t>
      </w:r>
      <w:r>
        <w:rPr>
          <w:rFonts w:ascii="Bodoni MT" w:eastAsia="Times New Roman" w:hAnsi="Bodoni MT" w:cs="Times New Roman"/>
          <w:sz w:val="24"/>
          <w:szCs w:val="24"/>
          <w:lang w:eastAsia="it-IT"/>
        </w:rPr>
        <w:t>nei limiti della prescrizione ordinaria e delle disposizioni vincolistiche poste d</w:t>
      </w:r>
      <w:r w:rsidR="009245FC">
        <w:rPr>
          <w:rFonts w:ascii="Bodoni MT" w:eastAsia="Times New Roman" w:hAnsi="Bodoni MT" w:cs="Times New Roman"/>
          <w:sz w:val="24"/>
          <w:szCs w:val="24"/>
          <w:lang w:eastAsia="it-IT"/>
        </w:rPr>
        <w:t xml:space="preserve">alla legislazione applicabile. </w:t>
      </w:r>
      <w:r>
        <w:rPr>
          <w:rFonts w:ascii="Bodoni MT" w:eastAsia="Times New Roman" w:hAnsi="Bodoni MT" w:cs="Times New Roman"/>
          <w:sz w:val="24"/>
          <w:szCs w:val="24"/>
          <w:lang w:eastAsia="it-IT"/>
        </w:rPr>
        <w:t xml:space="preserve">A tal riguardo, giova qui ricordare che l’art. 9 D.L. 31 maggio 2010, n. 78, al comma 1, ha disposto che </w:t>
      </w:r>
      <w:r>
        <w:rPr>
          <w:rFonts w:ascii="Bodoni MT" w:eastAsia="Times New Roman" w:hAnsi="Bodoni MT" w:cs="Times New Roman"/>
          <w:i/>
          <w:sz w:val="24"/>
          <w:szCs w:val="24"/>
          <w:lang w:eastAsia="it-IT"/>
        </w:rPr>
        <w:t>“Per gli anni 2011</w:t>
      </w:r>
      <w:r w:rsidRPr="000133B4">
        <w:rPr>
          <w:rFonts w:ascii="Bodoni MT" w:eastAsia="Times New Roman" w:hAnsi="Bodoni MT" w:cs="Times New Roman"/>
          <w:i/>
          <w:sz w:val="24"/>
          <w:szCs w:val="24"/>
          <w:lang w:eastAsia="it-IT"/>
        </w:rPr>
        <w:t>, 2012, e 2013</w:t>
      </w:r>
      <w:r>
        <w:rPr>
          <w:rFonts w:ascii="Bodoni MT" w:eastAsia="Times New Roman" w:hAnsi="Bodoni MT" w:cs="Times New Roman"/>
          <w:sz w:val="24"/>
          <w:szCs w:val="24"/>
          <w:lang w:eastAsia="it-IT"/>
        </w:rPr>
        <w:t xml:space="preserve"> </w:t>
      </w:r>
      <w:r w:rsidRPr="00EA4FE9">
        <w:rPr>
          <w:rFonts w:ascii="Bodoni MT" w:eastAsia="Times New Roman" w:hAnsi="Bodoni MT" w:cs="Times New Roman"/>
          <w:i/>
          <w:sz w:val="24"/>
          <w:szCs w:val="24"/>
          <w:lang w:eastAsia="it-IT"/>
        </w:rPr>
        <w:t>il trattamento economico complessivo dei singoli dipendenti, anche di qualifica dirigenziale, ivi compreso il trattamento accessorio, previsto dai rispettivi ordinamenti delle amministrazioni pubbliche inserite nel conto economico consolidato della pubblica amministrazione, come individuate dall’Istituto nazionale di statistica (ISTAT) [...], non può superare, in ogni caso, il trattamento ordinariamente spettante per l’</w:t>
      </w:r>
      <w:r>
        <w:rPr>
          <w:rFonts w:ascii="Bodoni MT" w:eastAsia="Times New Roman" w:hAnsi="Bodoni MT" w:cs="Times New Roman"/>
          <w:i/>
          <w:sz w:val="24"/>
          <w:szCs w:val="24"/>
          <w:lang w:eastAsia="it-IT"/>
        </w:rPr>
        <w:t xml:space="preserve">anno 2010…”   </w:t>
      </w:r>
      <w:r>
        <w:rPr>
          <w:rFonts w:ascii="Bodoni MT" w:eastAsia="Times New Roman" w:hAnsi="Bodoni MT" w:cs="Times New Roman"/>
          <w:sz w:val="24"/>
          <w:szCs w:val="24"/>
          <w:lang w:eastAsia="it-IT"/>
        </w:rPr>
        <w:t>ed all’ultimo periodo del comma 21, della medesima disposizione ha precisato che</w:t>
      </w:r>
      <w:r>
        <w:rPr>
          <w:rFonts w:ascii="Bodoni MT" w:eastAsia="Times New Roman" w:hAnsi="Bodoni MT" w:cs="Times New Roman"/>
          <w:i/>
          <w:sz w:val="24"/>
          <w:szCs w:val="24"/>
          <w:lang w:eastAsia="it-IT"/>
        </w:rPr>
        <w:t xml:space="preserve"> “Per il personale contrattualizzato le progressioni di carriera comunque denominate ed i </w:t>
      </w:r>
      <w:r>
        <w:rPr>
          <w:rFonts w:ascii="Bodoni MT" w:eastAsia="Times New Roman" w:hAnsi="Bodoni MT" w:cs="Times New Roman"/>
          <w:i/>
          <w:sz w:val="24"/>
          <w:szCs w:val="24"/>
          <w:lang w:eastAsia="it-IT"/>
        </w:rPr>
        <w:lastRenderedPageBreak/>
        <w:t>passaggi tra le aree eventualmente disposte negli anni 2011, 2012, e 2013 hanno effetto, per i predetti anni, ai fini esclusivamente giuridici”.</w:t>
      </w:r>
    </w:p>
    <w:p w:rsidR="00820F50" w:rsidRDefault="008133F5" w:rsidP="00D8038C">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Con riferimento alla portata interpretativa dell’art. 4, comma 1 </w:t>
      </w:r>
      <w:r w:rsidR="0070614D">
        <w:rPr>
          <w:rFonts w:ascii="Bodoni MT" w:eastAsia="Times New Roman" w:hAnsi="Bodoni MT" w:cs="Times New Roman"/>
          <w:sz w:val="24"/>
          <w:szCs w:val="24"/>
          <w:lang w:eastAsia="it-IT"/>
        </w:rPr>
        <w:t>decreto legge 6 marzo 2014, n. 16</w:t>
      </w:r>
      <w:r>
        <w:rPr>
          <w:rFonts w:ascii="Bodoni MT" w:eastAsia="Times New Roman" w:hAnsi="Bodoni MT" w:cs="Times New Roman"/>
          <w:sz w:val="24"/>
          <w:szCs w:val="24"/>
          <w:lang w:eastAsia="it-IT"/>
        </w:rPr>
        <w:t xml:space="preserve">, </w:t>
      </w:r>
      <w:r w:rsidR="002B3D0C">
        <w:rPr>
          <w:rFonts w:ascii="Bodoni MT" w:eastAsia="Times New Roman" w:hAnsi="Bodoni MT" w:cs="Times New Roman"/>
          <w:sz w:val="24"/>
          <w:szCs w:val="24"/>
          <w:lang w:eastAsia="it-IT"/>
        </w:rPr>
        <w:t>si fa presente che, questa Sezione aveva avuto modo di esprimersi con la</w:t>
      </w:r>
      <w:r w:rsidR="0070614D">
        <w:rPr>
          <w:rFonts w:ascii="Bodoni MT" w:eastAsia="Times New Roman" w:hAnsi="Bodoni MT" w:cs="Times New Roman"/>
          <w:sz w:val="24"/>
          <w:szCs w:val="24"/>
          <w:lang w:eastAsia="it-IT"/>
        </w:rPr>
        <w:t xml:space="preserve"> propria deliberazione n. 6/2016</w:t>
      </w:r>
      <w:r w:rsidR="00091CD0">
        <w:rPr>
          <w:rFonts w:ascii="Bodoni MT" w:eastAsia="Times New Roman" w:hAnsi="Bodoni MT" w:cs="Times New Roman"/>
          <w:sz w:val="24"/>
          <w:szCs w:val="24"/>
          <w:lang w:eastAsia="it-IT"/>
        </w:rPr>
        <w:t>, nel</w:t>
      </w:r>
      <w:r w:rsidR="002B3D0C">
        <w:rPr>
          <w:rFonts w:ascii="Bodoni MT" w:eastAsia="Times New Roman" w:hAnsi="Bodoni MT" w:cs="Times New Roman"/>
          <w:sz w:val="24"/>
          <w:szCs w:val="24"/>
          <w:lang w:eastAsia="it-IT"/>
        </w:rPr>
        <w:t xml:space="preserve"> merito</w:t>
      </w:r>
      <w:r w:rsidR="0070614D">
        <w:rPr>
          <w:rFonts w:ascii="Bodoni MT" w:eastAsia="Times New Roman" w:hAnsi="Bodoni MT" w:cs="Times New Roman"/>
          <w:sz w:val="24"/>
          <w:szCs w:val="24"/>
          <w:lang w:eastAsia="it-IT"/>
        </w:rPr>
        <w:t>,</w:t>
      </w:r>
      <w:r w:rsidR="002B3D0C">
        <w:rPr>
          <w:rFonts w:ascii="Bodoni MT" w:eastAsia="Times New Roman" w:hAnsi="Bodoni MT" w:cs="Times New Roman"/>
          <w:sz w:val="24"/>
          <w:szCs w:val="24"/>
          <w:lang w:eastAsia="it-IT"/>
        </w:rPr>
        <w:t xml:space="preserve"> affermando che il medesimo articolo </w:t>
      </w:r>
      <w:r w:rsidR="002B3D0C" w:rsidRPr="002B3D0C">
        <w:rPr>
          <w:rFonts w:ascii="Bodoni MT" w:eastAsia="Times New Roman" w:hAnsi="Bodoni MT" w:cs="Times New Roman"/>
          <w:i/>
          <w:sz w:val="24"/>
          <w:szCs w:val="24"/>
          <w:lang w:eastAsia="it-IT"/>
        </w:rPr>
        <w:t>“contiene disposizioni tese da un lato, a permettere un percorso di recupero nel caso i fondi della contrattazione decentrata siano stati costituiti in violazione delle norme in materia di contenimento della spesa di personale o in misura eccedente a quella prevista dalla contrattazione nazionale (commi 1 e 2), dall’altro, a sanare gli atti di costituzione e utilizzo dei fondi stessi in presenza di individuate condizioni (comma 3)”</w:t>
      </w:r>
      <w:r w:rsidR="00280780">
        <w:rPr>
          <w:rFonts w:ascii="Bodoni MT" w:eastAsia="Times New Roman" w:hAnsi="Bodoni MT" w:cs="Times New Roman"/>
          <w:sz w:val="24"/>
          <w:szCs w:val="24"/>
          <w:lang w:eastAsia="it-IT"/>
        </w:rPr>
        <w:t>.</w:t>
      </w:r>
      <w:r w:rsidR="00F07607">
        <w:rPr>
          <w:rFonts w:ascii="Bodoni MT" w:eastAsia="Times New Roman" w:hAnsi="Bodoni MT" w:cs="Times New Roman"/>
          <w:sz w:val="24"/>
          <w:szCs w:val="24"/>
          <w:lang w:eastAsia="it-IT"/>
        </w:rPr>
        <w:t xml:space="preserve"> L</w:t>
      </w:r>
      <w:r w:rsidR="00155652">
        <w:rPr>
          <w:rFonts w:ascii="Bodoni MT" w:eastAsia="Times New Roman" w:hAnsi="Bodoni MT" w:cs="Times New Roman"/>
          <w:sz w:val="24"/>
          <w:szCs w:val="24"/>
          <w:lang w:eastAsia="it-IT"/>
        </w:rPr>
        <w:t>e condizioni affinché</w:t>
      </w:r>
      <w:r w:rsidR="002B3D0C">
        <w:rPr>
          <w:rFonts w:ascii="Bodoni MT" w:eastAsia="Times New Roman" w:hAnsi="Bodoni MT" w:cs="Times New Roman"/>
          <w:sz w:val="24"/>
          <w:szCs w:val="24"/>
          <w:lang w:eastAsia="it-IT"/>
        </w:rPr>
        <w:t xml:space="preserve"> si determinino ipotesi di sanator</w:t>
      </w:r>
      <w:r w:rsidR="00F07607">
        <w:rPr>
          <w:rFonts w:ascii="Bodoni MT" w:eastAsia="Times New Roman" w:hAnsi="Bodoni MT" w:cs="Times New Roman"/>
          <w:sz w:val="24"/>
          <w:szCs w:val="24"/>
          <w:lang w:eastAsia="it-IT"/>
        </w:rPr>
        <w:t>ie, sono pertanto contenute nel</w:t>
      </w:r>
      <w:r w:rsidR="002B3D0C">
        <w:rPr>
          <w:rFonts w:ascii="Bodoni MT" w:eastAsia="Times New Roman" w:hAnsi="Bodoni MT" w:cs="Times New Roman"/>
          <w:sz w:val="24"/>
          <w:szCs w:val="24"/>
          <w:lang w:eastAsia="it-IT"/>
        </w:rPr>
        <w:t xml:space="preserve"> comma 3 del citato articolo, </w:t>
      </w:r>
      <w:r w:rsidR="00917586">
        <w:rPr>
          <w:rFonts w:ascii="Bodoni MT" w:eastAsia="Times New Roman" w:hAnsi="Bodoni MT" w:cs="Times New Roman"/>
          <w:sz w:val="24"/>
          <w:szCs w:val="24"/>
          <w:lang w:eastAsia="it-IT"/>
        </w:rPr>
        <w:t xml:space="preserve">che sul punto così recita </w:t>
      </w:r>
      <w:r w:rsidR="00917586" w:rsidRPr="00917586">
        <w:rPr>
          <w:rFonts w:ascii="Bodoni MT" w:eastAsia="Times New Roman" w:hAnsi="Bodoni MT" w:cs="Times New Roman"/>
          <w:i/>
          <w:sz w:val="24"/>
          <w:szCs w:val="24"/>
          <w:lang w:eastAsia="it-IT"/>
        </w:rPr>
        <w:t>“</w:t>
      </w:r>
      <w:r w:rsidR="00917586">
        <w:rPr>
          <w:rFonts w:ascii="Bodoni MT" w:eastAsia="Times New Roman" w:hAnsi="Bodoni MT" w:cs="Times New Roman"/>
          <w:i/>
          <w:sz w:val="24"/>
          <w:szCs w:val="24"/>
          <w:lang w:eastAsia="it-IT"/>
        </w:rPr>
        <w:t xml:space="preserve">non si applicano le disposizioni di cui al quinto periodo del comma 3 </w:t>
      </w:r>
      <w:proofErr w:type="spellStart"/>
      <w:r w:rsidR="00917586">
        <w:rPr>
          <w:rFonts w:ascii="Bodoni MT" w:eastAsia="Times New Roman" w:hAnsi="Bodoni MT" w:cs="Times New Roman"/>
          <w:i/>
          <w:sz w:val="24"/>
          <w:szCs w:val="24"/>
          <w:lang w:eastAsia="it-IT"/>
        </w:rPr>
        <w:t>quinquies</w:t>
      </w:r>
      <w:proofErr w:type="spellEnd"/>
      <w:r w:rsidR="00917586">
        <w:rPr>
          <w:rFonts w:ascii="Bodoni MT" w:eastAsia="Times New Roman" w:hAnsi="Bodoni MT" w:cs="Times New Roman"/>
          <w:i/>
          <w:sz w:val="24"/>
          <w:szCs w:val="24"/>
          <w:lang w:eastAsia="it-IT"/>
        </w:rPr>
        <w:t xml:space="preserve"> dell’art. 40 decreto legislativo n. 165/2001, agli </w:t>
      </w:r>
      <w:r w:rsidR="002B3D0C" w:rsidRPr="00917586">
        <w:rPr>
          <w:rFonts w:ascii="Bodoni MT" w:eastAsia="Times New Roman" w:hAnsi="Bodoni MT" w:cs="Times New Roman"/>
          <w:i/>
          <w:sz w:val="24"/>
          <w:szCs w:val="24"/>
          <w:lang w:eastAsia="it-IT"/>
        </w:rPr>
        <w:t>atti di costituzione</w:t>
      </w:r>
      <w:r w:rsidR="00917586" w:rsidRPr="00917586">
        <w:rPr>
          <w:rFonts w:ascii="Bodoni MT" w:eastAsia="Times New Roman" w:hAnsi="Bodoni MT" w:cs="Times New Roman"/>
          <w:i/>
          <w:sz w:val="24"/>
          <w:szCs w:val="24"/>
          <w:lang w:eastAsia="it-IT"/>
        </w:rPr>
        <w:t xml:space="preserve"> ed utilizzo</w:t>
      </w:r>
      <w:r w:rsidR="002B3D0C" w:rsidRPr="00917586">
        <w:rPr>
          <w:rFonts w:ascii="Bodoni MT" w:eastAsia="Times New Roman" w:hAnsi="Bodoni MT" w:cs="Times New Roman"/>
          <w:i/>
          <w:sz w:val="24"/>
          <w:szCs w:val="24"/>
          <w:lang w:eastAsia="it-IT"/>
        </w:rPr>
        <w:t xml:space="preserve"> dei fondi</w:t>
      </w:r>
      <w:r w:rsidR="00917586" w:rsidRPr="00917586">
        <w:rPr>
          <w:rFonts w:ascii="Bodoni MT" w:eastAsia="Times New Roman" w:hAnsi="Bodoni MT" w:cs="Times New Roman"/>
          <w:i/>
          <w:sz w:val="24"/>
          <w:szCs w:val="24"/>
          <w:lang w:eastAsia="it-IT"/>
        </w:rPr>
        <w:t>, comunque costituiti, per la contrattazione decentrata adottati anteriormente ai termini di adeguamento previsti dall’art. 65 del decreto legislativo 27 ottobre 2009, n. 150, e successive modificazioni, che non abbiano comportato il riconoscimento giudiziale della responsabilità erariale, adottati dalle regioni e dagli enti locali che hanno rispettato il patto di stabilità interno, la vigente disciplina in materia di spese e di assunzione del personale, nonché le disposizioni di cui all’art. 9, commi 1, 2-bis, 21 e 28 del decreto legge n. 78/2010, convertito, con modificazioni dalla legge n. 122/2010 e successive modificazioni”.</w:t>
      </w:r>
      <w:r w:rsidR="002B3D0C" w:rsidRPr="00917586">
        <w:rPr>
          <w:rFonts w:ascii="Bodoni MT" w:eastAsia="Times New Roman" w:hAnsi="Bodoni MT" w:cs="Times New Roman"/>
          <w:i/>
          <w:sz w:val="24"/>
          <w:szCs w:val="24"/>
          <w:lang w:eastAsia="it-IT"/>
        </w:rPr>
        <w:t xml:space="preserve">  </w:t>
      </w:r>
    </w:p>
    <w:p w:rsidR="009D4E9A" w:rsidRDefault="009D4E9A" w:rsidP="009D4E9A">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Pertanto, entro il limite della prescrizione ordina</w:t>
      </w:r>
      <w:r w:rsidR="00FC7674">
        <w:rPr>
          <w:rFonts w:ascii="Bodoni MT" w:eastAsia="Times New Roman" w:hAnsi="Bodoni MT" w:cs="Times New Roman"/>
          <w:sz w:val="24"/>
          <w:szCs w:val="24"/>
          <w:lang w:eastAsia="it-IT"/>
        </w:rPr>
        <w:t xml:space="preserve">ria potranno essere effettuate </w:t>
      </w:r>
      <w:r>
        <w:rPr>
          <w:rFonts w:ascii="Bodoni MT" w:eastAsia="Times New Roman" w:hAnsi="Bodoni MT" w:cs="Times New Roman"/>
          <w:sz w:val="24"/>
          <w:szCs w:val="24"/>
          <w:lang w:eastAsia="it-IT"/>
        </w:rPr>
        <w:t>le integrazioni, correzioni ed eliminazioni necessarie per una corretta ricostruzione delle risorse, certe, stabili e continuative, anche al fine di determinare correttamente l’ammontare delle somme erogate in eccesso che hanno alimentato il fondo per il salario accessorio del personale erroneamente costituito. Tali somme che dovranno essere oggetto di recupero con le modalità previste dai commi 1 e 2 del citato art. 4, dovranno</w:t>
      </w:r>
      <w:r w:rsidR="00726F29">
        <w:rPr>
          <w:rFonts w:ascii="Bodoni MT" w:eastAsia="Times New Roman" w:hAnsi="Bodoni MT" w:cs="Times New Roman"/>
          <w:sz w:val="24"/>
          <w:szCs w:val="24"/>
          <w:lang w:eastAsia="it-IT"/>
        </w:rPr>
        <w:t>, altresì,</w:t>
      </w:r>
      <w:r>
        <w:rPr>
          <w:rFonts w:ascii="Bodoni MT" w:eastAsia="Times New Roman" w:hAnsi="Bodoni MT" w:cs="Times New Roman"/>
          <w:sz w:val="24"/>
          <w:szCs w:val="24"/>
          <w:lang w:eastAsia="it-IT"/>
        </w:rPr>
        <w:t xml:space="preserve"> essere quantificate nel rispetto dei vincoli normativi vigenti tempo per tempo (ad esempio non potranno essere inserite somme </w:t>
      </w:r>
      <w:r w:rsidRPr="00EA4FE9">
        <w:rPr>
          <w:rFonts w:ascii="Bodoni MT" w:eastAsia="Times New Roman" w:hAnsi="Bodoni MT" w:cs="Times New Roman"/>
          <w:sz w:val="24"/>
          <w:szCs w:val="24"/>
          <w:lang w:eastAsia="it-IT"/>
        </w:rPr>
        <w:t xml:space="preserve">afferenti le progressioni di carriera comunque denominate ed i passaggi tra le aree eventualmente disposte negli </w:t>
      </w:r>
      <w:r w:rsidRPr="00EA4FE9">
        <w:rPr>
          <w:rFonts w:ascii="Bodoni MT" w:eastAsia="Times New Roman" w:hAnsi="Bodoni MT" w:cs="Times New Roman"/>
          <w:sz w:val="24"/>
          <w:szCs w:val="24"/>
          <w:lang w:eastAsia="it-IT"/>
        </w:rPr>
        <w:lastRenderedPageBreak/>
        <w:t xml:space="preserve">anni 2011, 2012, e 2013 </w:t>
      </w:r>
      <w:r>
        <w:rPr>
          <w:rFonts w:ascii="Bodoni MT" w:eastAsia="Times New Roman" w:hAnsi="Bodoni MT" w:cs="Times New Roman"/>
          <w:sz w:val="24"/>
          <w:szCs w:val="24"/>
          <w:lang w:eastAsia="it-IT"/>
        </w:rPr>
        <w:t>de</w:t>
      </w:r>
      <w:r w:rsidRPr="00EA4FE9">
        <w:rPr>
          <w:rFonts w:ascii="Bodoni MT" w:eastAsia="Times New Roman" w:hAnsi="Bodoni MT" w:cs="Times New Roman"/>
          <w:sz w:val="24"/>
          <w:szCs w:val="24"/>
          <w:lang w:eastAsia="it-IT"/>
        </w:rPr>
        <w:t xml:space="preserve">l personale contrattualizzato </w:t>
      </w:r>
      <w:r>
        <w:rPr>
          <w:rFonts w:ascii="Bodoni MT" w:eastAsia="Times New Roman" w:hAnsi="Bodoni MT" w:cs="Times New Roman"/>
          <w:sz w:val="24"/>
          <w:szCs w:val="24"/>
          <w:lang w:eastAsia="it-IT"/>
        </w:rPr>
        <w:t>che hanno effetto -</w:t>
      </w:r>
      <w:r w:rsidRPr="00EA4FE9">
        <w:rPr>
          <w:rFonts w:ascii="Bodoni MT" w:eastAsia="Times New Roman" w:hAnsi="Bodoni MT" w:cs="Times New Roman"/>
          <w:sz w:val="24"/>
          <w:szCs w:val="24"/>
          <w:lang w:eastAsia="it-IT"/>
        </w:rPr>
        <w:t xml:space="preserve"> per </w:t>
      </w:r>
      <w:r>
        <w:rPr>
          <w:rFonts w:ascii="Bodoni MT" w:eastAsia="Times New Roman" w:hAnsi="Bodoni MT" w:cs="Times New Roman"/>
          <w:sz w:val="24"/>
          <w:szCs w:val="24"/>
          <w:lang w:eastAsia="it-IT"/>
        </w:rPr>
        <w:t xml:space="preserve">esplicita disposizione di legge e per </w:t>
      </w:r>
      <w:r w:rsidRPr="00EA4FE9">
        <w:rPr>
          <w:rFonts w:ascii="Bodoni MT" w:eastAsia="Times New Roman" w:hAnsi="Bodoni MT" w:cs="Times New Roman"/>
          <w:sz w:val="24"/>
          <w:szCs w:val="24"/>
          <w:lang w:eastAsia="it-IT"/>
        </w:rPr>
        <w:t>i predetti anni</w:t>
      </w:r>
      <w:r>
        <w:rPr>
          <w:rFonts w:ascii="Bodoni MT" w:eastAsia="Times New Roman" w:hAnsi="Bodoni MT" w:cs="Times New Roman"/>
          <w:sz w:val="24"/>
          <w:szCs w:val="24"/>
          <w:lang w:eastAsia="it-IT"/>
        </w:rPr>
        <w:t xml:space="preserve"> -</w:t>
      </w:r>
      <w:r w:rsidRPr="00EA4FE9">
        <w:rPr>
          <w:rFonts w:ascii="Bodoni MT" w:eastAsia="Times New Roman" w:hAnsi="Bodoni MT" w:cs="Times New Roman"/>
          <w:sz w:val="24"/>
          <w:szCs w:val="24"/>
          <w:lang w:eastAsia="it-IT"/>
        </w:rPr>
        <w:t>, a</w:t>
      </w:r>
      <w:r>
        <w:rPr>
          <w:rFonts w:ascii="Bodoni MT" w:eastAsia="Times New Roman" w:hAnsi="Bodoni MT" w:cs="Times New Roman"/>
          <w:sz w:val="24"/>
          <w:szCs w:val="24"/>
          <w:lang w:eastAsia="it-IT"/>
        </w:rPr>
        <w:t xml:space="preserve">i fini esclusivamente giuridici). </w:t>
      </w:r>
    </w:p>
    <w:p w:rsidR="009D4E9A" w:rsidRDefault="009D4E9A" w:rsidP="009D4E9A">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La ricostruzione delle partite economico-</w:t>
      </w:r>
      <w:r w:rsidR="00C76A2A">
        <w:rPr>
          <w:rFonts w:ascii="Bodoni MT" w:eastAsia="Times New Roman" w:hAnsi="Bodoni MT" w:cs="Times New Roman"/>
          <w:sz w:val="24"/>
          <w:szCs w:val="24"/>
          <w:lang w:eastAsia="it-IT"/>
        </w:rPr>
        <w:t>finanziarie del fondo nel tempo -</w:t>
      </w:r>
      <w:r>
        <w:rPr>
          <w:rFonts w:ascii="Bodoni MT" w:eastAsia="Times New Roman" w:hAnsi="Bodoni MT" w:cs="Times New Roman"/>
          <w:sz w:val="24"/>
          <w:szCs w:val="24"/>
          <w:lang w:eastAsia="it-IT"/>
        </w:rPr>
        <w:t xml:space="preserve"> </w:t>
      </w:r>
      <w:r w:rsidR="00C76A2A">
        <w:rPr>
          <w:rFonts w:ascii="Bodoni MT" w:eastAsia="Times New Roman" w:hAnsi="Bodoni MT" w:cs="Times New Roman"/>
          <w:sz w:val="24"/>
          <w:szCs w:val="24"/>
          <w:lang w:eastAsia="it-IT"/>
        </w:rPr>
        <w:t xml:space="preserve">anche alla luce del quarto periodo, comma 3-quinquies dell’art. 40 del D Lgs n.165 del 2001 -, </w:t>
      </w:r>
      <w:r>
        <w:rPr>
          <w:rFonts w:ascii="Bodoni MT" w:eastAsia="Times New Roman" w:hAnsi="Bodoni MT" w:cs="Times New Roman"/>
          <w:sz w:val="24"/>
          <w:szCs w:val="24"/>
          <w:lang w:eastAsia="it-IT"/>
        </w:rPr>
        <w:t xml:space="preserve">non potrà in ogni caso determinare un incremento della spesa. </w:t>
      </w:r>
    </w:p>
    <w:p w:rsidR="00900B08" w:rsidRDefault="00603CBF" w:rsidP="00900B08">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Avuto riguardo, al p. n. </w:t>
      </w:r>
      <w:r w:rsidR="00E4019C">
        <w:rPr>
          <w:rFonts w:ascii="Bodoni MT" w:eastAsia="Times New Roman" w:hAnsi="Bodoni MT" w:cs="Times New Roman"/>
          <w:sz w:val="24"/>
          <w:szCs w:val="24"/>
          <w:lang w:eastAsia="it-IT"/>
        </w:rPr>
        <w:t>3 del presente par</w:t>
      </w:r>
      <w:r w:rsidR="00900B08">
        <w:rPr>
          <w:rFonts w:ascii="Bodoni MT" w:eastAsia="Times New Roman" w:hAnsi="Bodoni MT" w:cs="Times New Roman"/>
          <w:sz w:val="24"/>
          <w:szCs w:val="24"/>
          <w:lang w:eastAsia="it-IT"/>
        </w:rPr>
        <w:t>ere, si sottolinea quanto segue.</w:t>
      </w:r>
    </w:p>
    <w:p w:rsidR="00900B08" w:rsidRDefault="00900B08" w:rsidP="00900B08">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Il tenore letterale dell’art. 1, comma 226 L </w:t>
      </w:r>
      <w:r w:rsidR="00280780">
        <w:rPr>
          <w:rFonts w:ascii="Bodoni MT" w:eastAsia="Times New Roman" w:hAnsi="Bodoni MT" w:cs="Times New Roman"/>
          <w:sz w:val="24"/>
          <w:szCs w:val="24"/>
          <w:lang w:eastAsia="it-IT"/>
        </w:rPr>
        <w:t xml:space="preserve">n. </w:t>
      </w:r>
      <w:r>
        <w:rPr>
          <w:rFonts w:ascii="Bodoni MT" w:eastAsia="Times New Roman" w:hAnsi="Bodoni MT" w:cs="Times New Roman"/>
          <w:sz w:val="24"/>
          <w:szCs w:val="24"/>
          <w:lang w:eastAsia="it-IT"/>
        </w:rPr>
        <w:t>208/15, prevede e</w:t>
      </w:r>
      <w:r w:rsidR="003D71C0">
        <w:rPr>
          <w:rFonts w:ascii="Bodoni MT" w:eastAsia="Times New Roman" w:hAnsi="Bodoni MT" w:cs="Times New Roman"/>
          <w:sz w:val="24"/>
          <w:szCs w:val="24"/>
          <w:lang w:eastAsia="it-IT"/>
        </w:rPr>
        <w:t xml:space="preserve">spressamente la possibilità di </w:t>
      </w:r>
      <w:r>
        <w:rPr>
          <w:rFonts w:ascii="Bodoni MT" w:eastAsia="Times New Roman" w:hAnsi="Bodoni MT" w:cs="Times New Roman"/>
          <w:sz w:val="24"/>
          <w:szCs w:val="24"/>
          <w:lang w:eastAsia="it-IT"/>
        </w:rPr>
        <w:t>compensare le somme da recuperare d</w:t>
      </w:r>
      <w:r w:rsidR="00D50A11">
        <w:rPr>
          <w:rFonts w:ascii="Bodoni MT" w:eastAsia="Times New Roman" w:hAnsi="Bodoni MT" w:cs="Times New Roman"/>
          <w:sz w:val="24"/>
          <w:szCs w:val="24"/>
          <w:lang w:eastAsia="it-IT"/>
        </w:rPr>
        <w:t xml:space="preserve">i cui al primo periodo comma 1 </w:t>
      </w:r>
      <w:bookmarkStart w:id="0" w:name="_GoBack"/>
      <w:bookmarkEnd w:id="0"/>
      <w:r>
        <w:rPr>
          <w:rFonts w:ascii="Bodoni MT" w:eastAsia="Times New Roman" w:hAnsi="Bodoni MT" w:cs="Times New Roman"/>
          <w:sz w:val="24"/>
          <w:szCs w:val="24"/>
          <w:lang w:eastAsia="it-IT"/>
        </w:rPr>
        <w:t xml:space="preserve">dell’art. 4 del DL n. 16/14, anche attraverso l’utilizzo dei risparmi effettivamente derivanti dalle misure di razionalizzazione organizzativa adottate ai sensi </w:t>
      </w:r>
      <w:r w:rsidR="00F26A44">
        <w:rPr>
          <w:rFonts w:ascii="Bodoni MT" w:eastAsia="Times New Roman" w:hAnsi="Bodoni MT" w:cs="Times New Roman"/>
          <w:sz w:val="24"/>
          <w:szCs w:val="24"/>
          <w:lang w:eastAsia="it-IT"/>
        </w:rPr>
        <w:t>del comma 221 (risparmi sugli uffici dirigenziali), certificati dall’organo di revisione, comprensivi di quelli derivanti dall’applicazione del comma 228</w:t>
      </w:r>
      <w:r w:rsidR="008B6313">
        <w:rPr>
          <w:rFonts w:ascii="Bodoni MT" w:eastAsia="Times New Roman" w:hAnsi="Bodoni MT" w:cs="Times New Roman"/>
          <w:sz w:val="24"/>
          <w:szCs w:val="24"/>
          <w:lang w:eastAsia="it-IT"/>
        </w:rPr>
        <w:t xml:space="preserve"> (risparmi conseguenti alla rinunzia alle</w:t>
      </w:r>
      <w:r w:rsidR="00F26A44">
        <w:rPr>
          <w:rFonts w:ascii="Bodoni MT" w:eastAsia="Times New Roman" w:hAnsi="Bodoni MT" w:cs="Times New Roman"/>
          <w:sz w:val="24"/>
          <w:szCs w:val="24"/>
          <w:lang w:eastAsia="it-IT"/>
        </w:rPr>
        <w:t xml:space="preserve"> capacità assunzionali).</w:t>
      </w:r>
    </w:p>
    <w:p w:rsidR="008B6313" w:rsidRDefault="008B6313" w:rsidP="00900B08">
      <w:pPr>
        <w:spacing w:after="0" w:line="360" w:lineRule="auto"/>
        <w:ind w:firstLine="709"/>
        <w:jc w:val="both"/>
        <w:rPr>
          <w:rFonts w:ascii="Bodoni MT" w:eastAsia="Times New Roman" w:hAnsi="Bodoni MT" w:cs="Times New Roman"/>
          <w:i/>
          <w:sz w:val="24"/>
          <w:szCs w:val="24"/>
          <w:lang w:eastAsia="it-IT"/>
        </w:rPr>
      </w:pPr>
      <w:r>
        <w:rPr>
          <w:rFonts w:ascii="Bodoni MT" w:eastAsia="Times New Roman" w:hAnsi="Bodoni MT" w:cs="Times New Roman"/>
          <w:sz w:val="24"/>
          <w:szCs w:val="24"/>
          <w:lang w:eastAsia="it-IT"/>
        </w:rPr>
        <w:t xml:space="preserve">Sulla portata interpretativa del comma 228, con riferimento </w:t>
      </w:r>
      <w:r w:rsidR="003A4AF9">
        <w:rPr>
          <w:rFonts w:ascii="Bodoni MT" w:eastAsia="Times New Roman" w:hAnsi="Bodoni MT" w:cs="Times New Roman"/>
          <w:sz w:val="24"/>
          <w:szCs w:val="24"/>
          <w:lang w:eastAsia="it-IT"/>
        </w:rPr>
        <w:t xml:space="preserve">ai vincoli ed </w:t>
      </w:r>
      <w:r>
        <w:rPr>
          <w:rFonts w:ascii="Bodoni MT" w:eastAsia="Times New Roman" w:hAnsi="Bodoni MT" w:cs="Times New Roman"/>
          <w:sz w:val="24"/>
          <w:szCs w:val="24"/>
          <w:lang w:eastAsia="it-IT"/>
        </w:rPr>
        <w:t>alla dimensione temporale delle capacità assunzionali, è intervenuta la Sezione</w:t>
      </w:r>
      <w:r w:rsidR="005C7BCB">
        <w:rPr>
          <w:rFonts w:ascii="Bodoni MT" w:eastAsia="Times New Roman" w:hAnsi="Bodoni MT" w:cs="Times New Roman"/>
          <w:sz w:val="24"/>
          <w:szCs w:val="24"/>
          <w:lang w:eastAsia="it-IT"/>
        </w:rPr>
        <w:t xml:space="preserve"> delle autonomie con la deliberazione n. 26/2015 che ha enunciato il seguente principio “</w:t>
      </w:r>
      <w:r w:rsidR="005C7BCB">
        <w:rPr>
          <w:rFonts w:ascii="Bodoni MT" w:eastAsia="Times New Roman" w:hAnsi="Bodoni MT" w:cs="Times New Roman"/>
          <w:i/>
          <w:sz w:val="24"/>
          <w:szCs w:val="24"/>
          <w:lang w:eastAsia="it-IT"/>
        </w:rPr>
        <w:t xml:space="preserve">gli enti locali possono effettuare assunzioni di personale a tempo indeterminato utilizzando la capacità assunzionale del 2014 derivante dalle cessazioni di personale del triennio 2011-2013, sempre nel rispetto dei vincoli di finanza pubblica; mentre con riguardo al budget di spesa del biennio 2015-2016 (riferito alle cessazioni di personale intervenute </w:t>
      </w:r>
      <w:r w:rsidR="00155652">
        <w:rPr>
          <w:rFonts w:ascii="Bodoni MT" w:eastAsia="Times New Roman" w:hAnsi="Bodoni MT" w:cs="Times New Roman"/>
          <w:i/>
          <w:sz w:val="24"/>
          <w:szCs w:val="24"/>
          <w:lang w:eastAsia="it-IT"/>
        </w:rPr>
        <w:t>nel 2014 e nel 2015), la capaci</w:t>
      </w:r>
      <w:r w:rsidR="005C7BCB">
        <w:rPr>
          <w:rFonts w:ascii="Bodoni MT" w:eastAsia="Times New Roman" w:hAnsi="Bodoni MT" w:cs="Times New Roman"/>
          <w:i/>
          <w:sz w:val="24"/>
          <w:szCs w:val="24"/>
          <w:lang w:eastAsia="it-IT"/>
        </w:rPr>
        <w:t>tà assunzionale è soggetta ai vincoli posti da</w:t>
      </w:r>
      <w:r w:rsidR="0070614D">
        <w:rPr>
          <w:rFonts w:ascii="Bodoni MT" w:eastAsia="Times New Roman" w:hAnsi="Bodoni MT" w:cs="Times New Roman"/>
          <w:i/>
          <w:sz w:val="24"/>
          <w:szCs w:val="24"/>
          <w:lang w:eastAsia="it-IT"/>
        </w:rPr>
        <w:t>ll’art. 1, comma 424 della legg</w:t>
      </w:r>
      <w:r w:rsidR="005C7BCB">
        <w:rPr>
          <w:rFonts w:ascii="Bodoni MT" w:eastAsia="Times New Roman" w:hAnsi="Bodoni MT" w:cs="Times New Roman"/>
          <w:i/>
          <w:sz w:val="24"/>
          <w:szCs w:val="24"/>
          <w:lang w:eastAsia="it-IT"/>
        </w:rPr>
        <w:t>e 190/2014 finalizzati a garantire il riassorbimento del personale provinciale”,</w:t>
      </w:r>
      <w:r>
        <w:rPr>
          <w:rFonts w:ascii="Bodoni MT" w:eastAsia="Times New Roman" w:hAnsi="Bodoni MT" w:cs="Times New Roman"/>
          <w:sz w:val="24"/>
          <w:szCs w:val="24"/>
          <w:lang w:eastAsia="it-IT"/>
        </w:rPr>
        <w:t xml:space="preserve"> </w:t>
      </w:r>
      <w:r w:rsidR="005C7BCB">
        <w:rPr>
          <w:rFonts w:ascii="Bodoni MT" w:eastAsia="Times New Roman" w:hAnsi="Bodoni MT" w:cs="Times New Roman"/>
          <w:sz w:val="24"/>
          <w:szCs w:val="24"/>
          <w:lang w:eastAsia="it-IT"/>
        </w:rPr>
        <w:t xml:space="preserve">vedi anche Sezione </w:t>
      </w:r>
      <w:r w:rsidR="003A4AF9">
        <w:rPr>
          <w:rFonts w:ascii="Bodoni MT" w:eastAsia="Times New Roman" w:hAnsi="Bodoni MT" w:cs="Times New Roman"/>
          <w:sz w:val="24"/>
          <w:szCs w:val="24"/>
          <w:lang w:eastAsia="it-IT"/>
        </w:rPr>
        <w:t>controllo Molise, con la deliberazione n. 172/2016/PAR, che sul punto così si esprime “</w:t>
      </w:r>
      <w:r w:rsidR="003A4AF9">
        <w:rPr>
          <w:rFonts w:ascii="Bodoni MT" w:eastAsia="Times New Roman" w:hAnsi="Bodoni MT" w:cs="Times New Roman"/>
          <w:i/>
          <w:sz w:val="24"/>
          <w:szCs w:val="24"/>
          <w:lang w:eastAsia="it-IT"/>
        </w:rPr>
        <w:t>I Comuni sono autorizzati, dunque, ad impiegare nel 2015 l’eventuale budget residuo derivanti dalle cessazioni intervenute nel triennio 2011-2013, per assunzioni non vincolate ai sensi del comma 424</w:t>
      </w:r>
      <w:r w:rsidR="005C7BCB">
        <w:rPr>
          <w:rFonts w:ascii="Bodoni MT" w:eastAsia="Times New Roman" w:hAnsi="Bodoni MT" w:cs="Times New Roman"/>
          <w:i/>
          <w:sz w:val="24"/>
          <w:szCs w:val="24"/>
          <w:lang w:eastAsia="it-IT"/>
        </w:rPr>
        <w:t xml:space="preserve"> della legge di stabilità</w:t>
      </w:r>
      <w:r w:rsidR="003A4AF9">
        <w:rPr>
          <w:rFonts w:ascii="Bodoni MT" w:eastAsia="Times New Roman" w:hAnsi="Bodoni MT" w:cs="Times New Roman"/>
          <w:i/>
          <w:sz w:val="24"/>
          <w:szCs w:val="24"/>
          <w:lang w:eastAsia="it-IT"/>
        </w:rPr>
        <w:t xml:space="preserve"> 2015.</w:t>
      </w:r>
      <w:r w:rsidR="005C7BCB">
        <w:rPr>
          <w:rFonts w:ascii="Bodoni MT" w:eastAsia="Times New Roman" w:hAnsi="Bodoni MT" w:cs="Times New Roman"/>
          <w:i/>
          <w:sz w:val="24"/>
          <w:szCs w:val="24"/>
          <w:lang w:eastAsia="it-IT"/>
        </w:rPr>
        <w:t xml:space="preserve"> Ne consegue che la capacità assunzionale del triennio 2012-2013-2014, non integralmente utilizzata ed eventualmente rinviata nel 2015 ovvero nel 2016, non soggiace alle limitazioni introdot</w:t>
      </w:r>
      <w:r w:rsidR="0070614D">
        <w:rPr>
          <w:rFonts w:ascii="Bodoni MT" w:eastAsia="Times New Roman" w:hAnsi="Bodoni MT" w:cs="Times New Roman"/>
          <w:i/>
          <w:sz w:val="24"/>
          <w:szCs w:val="24"/>
          <w:lang w:eastAsia="it-IT"/>
        </w:rPr>
        <w:t>te dal citato comma 424, restand</w:t>
      </w:r>
      <w:r w:rsidR="005C7BCB">
        <w:rPr>
          <w:rFonts w:ascii="Bodoni MT" w:eastAsia="Times New Roman" w:hAnsi="Bodoni MT" w:cs="Times New Roman"/>
          <w:i/>
          <w:sz w:val="24"/>
          <w:szCs w:val="24"/>
          <w:lang w:eastAsia="it-IT"/>
        </w:rPr>
        <w:t>o regolata dalla disciplina ordinaria in materia di vincoli sulle assunzioni a tempo indeterminato vigente in ciascun anno di riferimento”.</w:t>
      </w:r>
    </w:p>
    <w:p w:rsidR="00C003DC" w:rsidRPr="00C003DC" w:rsidRDefault="00C003DC" w:rsidP="00900B08">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lastRenderedPageBreak/>
        <w:t xml:space="preserve">Pertanto, dalla lettura delle disposizioni in esame, si ritiene possibile agire in compensazione per le somme da recuperare anche attraverso l’uso dei risparmi conseguenti al mancato utilizzo dei resti assunzionali dell’ultimo triennio, calcolati in conformità all’art. 1, comma 228, della legge 208/2015.  </w:t>
      </w:r>
    </w:p>
    <w:p w:rsidR="00094D11" w:rsidRPr="00EC1339" w:rsidRDefault="00094D11" w:rsidP="00A86FDF">
      <w:pPr>
        <w:spacing w:after="0" w:line="360" w:lineRule="auto"/>
        <w:jc w:val="both"/>
        <w:rPr>
          <w:rFonts w:ascii="Bodoni MT" w:eastAsia="Times New Roman" w:hAnsi="Bodoni MT" w:cs="Times New Roman"/>
          <w:sz w:val="24"/>
          <w:szCs w:val="24"/>
          <w:lang w:eastAsia="it-IT"/>
        </w:rPr>
      </w:pPr>
    </w:p>
    <w:p w:rsidR="00A85067" w:rsidRPr="0001097C" w:rsidRDefault="00A85067" w:rsidP="00A85067">
      <w:pPr>
        <w:spacing w:before="240" w:after="240" w:line="360" w:lineRule="auto"/>
        <w:jc w:val="center"/>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 * *</w:t>
      </w:r>
    </w:p>
    <w:p w:rsidR="00A85067" w:rsidRPr="0001097C" w:rsidRDefault="00A85067" w:rsidP="00A85067">
      <w:pPr>
        <w:spacing w:after="0" w:line="360" w:lineRule="auto"/>
        <w:ind w:firstLine="709"/>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Nelle sopra esposte</w:t>
      </w:r>
      <w:r>
        <w:rPr>
          <w:rFonts w:ascii="Bodoni MT" w:eastAsia="Times New Roman" w:hAnsi="Bodoni MT" w:cs="Times New Roman"/>
          <w:sz w:val="24"/>
          <w:szCs w:val="24"/>
          <w:lang w:eastAsia="it-IT"/>
        </w:rPr>
        <w:t xml:space="preserve"> considerazioni è il deliberato</w:t>
      </w:r>
      <w:r w:rsidRPr="0001097C">
        <w:rPr>
          <w:rFonts w:ascii="Bodoni MT" w:eastAsia="Times New Roman" w:hAnsi="Bodoni MT" w:cs="Times New Roman"/>
          <w:sz w:val="24"/>
          <w:szCs w:val="24"/>
          <w:lang w:eastAsia="it-IT"/>
        </w:rPr>
        <w:t xml:space="preserve"> della Corte dei conti – Sezione regionale di controllo per la Toscana - in relazione alla richiesta formulata dal </w:t>
      </w:r>
      <w:r>
        <w:rPr>
          <w:rFonts w:ascii="Bodoni MT" w:eastAsia="Times New Roman" w:hAnsi="Bodoni MT" w:cs="Times New Roman"/>
          <w:sz w:val="24"/>
          <w:szCs w:val="24"/>
          <w:lang w:eastAsia="it-IT"/>
        </w:rPr>
        <w:t xml:space="preserve">comune di </w:t>
      </w:r>
      <w:r w:rsidR="00094D11">
        <w:rPr>
          <w:rFonts w:ascii="Bodoni MT" w:eastAsia="Times New Roman" w:hAnsi="Bodoni MT" w:cs="Times New Roman"/>
          <w:sz w:val="24"/>
          <w:szCs w:val="24"/>
          <w:lang w:eastAsia="it-IT"/>
        </w:rPr>
        <w:t>Arezzo</w:t>
      </w:r>
      <w:r w:rsidRPr="0001097C">
        <w:rPr>
          <w:rFonts w:ascii="Bodoni MT" w:eastAsia="Times New Roman" w:hAnsi="Bodoni MT" w:cs="Times New Roman"/>
          <w:sz w:val="24"/>
          <w:szCs w:val="24"/>
          <w:lang w:eastAsia="it-IT"/>
        </w:rPr>
        <w:t xml:space="preserve">, trasmessa </w:t>
      </w:r>
      <w:r w:rsidR="009320EE">
        <w:rPr>
          <w:rFonts w:ascii="Bodoni MT" w:eastAsia="Times New Roman" w:hAnsi="Bodoni MT" w:cs="Times New Roman"/>
          <w:sz w:val="24"/>
          <w:szCs w:val="24"/>
          <w:lang w:eastAsia="it-IT"/>
        </w:rPr>
        <w:t>dal Consiglio delle autonomie con nota del 6 marzo 2017, prot. 4849, a mezzo posta certificata.</w:t>
      </w:r>
    </w:p>
    <w:p w:rsidR="00A85067" w:rsidRPr="0001097C" w:rsidRDefault="00A85067" w:rsidP="00A85067">
      <w:pPr>
        <w:spacing w:after="0" w:line="360" w:lineRule="auto"/>
        <w:ind w:firstLine="709"/>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 xml:space="preserve">Copia della presente deliberazione è trasmessa </w:t>
      </w:r>
      <w:r w:rsidRPr="005B5F76">
        <w:rPr>
          <w:rFonts w:ascii="Bodoni MT" w:eastAsia="Times New Roman" w:hAnsi="Bodoni MT" w:cs="Times New Roman"/>
          <w:sz w:val="24"/>
          <w:szCs w:val="24"/>
          <w:lang w:eastAsia="it-IT"/>
        </w:rPr>
        <w:t xml:space="preserve">Presidente del Consiglio delle autonomie locali della Toscana </w:t>
      </w:r>
      <w:r>
        <w:rPr>
          <w:rFonts w:ascii="Bodoni MT" w:eastAsia="Times New Roman" w:hAnsi="Bodoni MT" w:cs="Times New Roman"/>
          <w:sz w:val="24"/>
          <w:szCs w:val="24"/>
          <w:lang w:eastAsia="it-IT"/>
        </w:rPr>
        <w:t xml:space="preserve">e, per conoscenza, </w:t>
      </w:r>
      <w:r w:rsidRPr="00404B5E">
        <w:rPr>
          <w:rFonts w:ascii="Bodoni MT" w:eastAsia="Times New Roman" w:hAnsi="Bodoni MT" w:cs="Times New Roman"/>
          <w:sz w:val="24"/>
          <w:szCs w:val="24"/>
          <w:lang w:eastAsia="it-IT"/>
        </w:rPr>
        <w:t xml:space="preserve">al Sindaco del comune di </w:t>
      </w:r>
      <w:r w:rsidR="00094D11">
        <w:rPr>
          <w:rFonts w:ascii="Bodoni MT" w:eastAsia="Times New Roman" w:hAnsi="Bodoni MT" w:cs="Times New Roman"/>
          <w:sz w:val="24"/>
          <w:szCs w:val="24"/>
          <w:lang w:eastAsia="it-IT"/>
        </w:rPr>
        <w:t>Arezzo</w:t>
      </w:r>
      <w:r w:rsidRPr="00EC7D66">
        <w:rPr>
          <w:rFonts w:ascii="Bodoni MT" w:eastAsia="Times New Roman" w:hAnsi="Bodoni MT" w:cs="Times New Roman"/>
          <w:sz w:val="24"/>
          <w:szCs w:val="24"/>
          <w:lang w:eastAsia="it-IT"/>
        </w:rPr>
        <w:t xml:space="preserve"> </w:t>
      </w:r>
      <w:r w:rsidRPr="00404B5E">
        <w:rPr>
          <w:rFonts w:ascii="Bodoni MT" w:eastAsia="Times New Roman" w:hAnsi="Bodoni MT" w:cs="Times New Roman"/>
          <w:sz w:val="24"/>
          <w:szCs w:val="24"/>
          <w:lang w:eastAsia="it-IT"/>
        </w:rPr>
        <w:t>e</w:t>
      </w:r>
      <w:r>
        <w:rPr>
          <w:rFonts w:ascii="Bodoni MT" w:eastAsia="Times New Roman" w:hAnsi="Bodoni MT" w:cs="Times New Roman"/>
          <w:sz w:val="24"/>
          <w:szCs w:val="24"/>
          <w:lang w:eastAsia="it-IT"/>
        </w:rPr>
        <w:t>d</w:t>
      </w:r>
      <w:r w:rsidRPr="00404B5E">
        <w:rPr>
          <w:rFonts w:ascii="Bodoni MT" w:eastAsia="Times New Roman" w:hAnsi="Bodoni MT" w:cs="Times New Roman"/>
          <w:sz w:val="24"/>
          <w:szCs w:val="24"/>
          <w:lang w:eastAsia="it-IT"/>
        </w:rPr>
        <w:t xml:space="preserve"> al Presidente del relativo Consiglio</w:t>
      </w:r>
      <w:r w:rsidRPr="0001097C">
        <w:rPr>
          <w:rFonts w:ascii="Bodoni MT" w:eastAsia="Times New Roman" w:hAnsi="Bodoni MT" w:cs="Times New Roman"/>
          <w:sz w:val="24"/>
          <w:szCs w:val="24"/>
          <w:lang w:eastAsia="it-IT"/>
        </w:rPr>
        <w:t>.</w:t>
      </w:r>
    </w:p>
    <w:p w:rsidR="00A85067" w:rsidRPr="0001097C" w:rsidRDefault="00A85067" w:rsidP="00A85067">
      <w:pPr>
        <w:spacing w:after="0" w:line="360" w:lineRule="auto"/>
        <w:jc w:val="both"/>
        <w:rPr>
          <w:rFonts w:ascii="Bodoni MT" w:eastAsia="Times New Roman" w:hAnsi="Bodoni MT" w:cs="Times New Roman"/>
          <w:sz w:val="24"/>
          <w:szCs w:val="24"/>
          <w:lang w:eastAsia="it-IT"/>
        </w:rPr>
      </w:pPr>
    </w:p>
    <w:p w:rsidR="00A85067" w:rsidRPr="0001097C" w:rsidRDefault="00A85067" w:rsidP="00A85067">
      <w:pPr>
        <w:spacing w:after="0" w:line="360" w:lineRule="auto"/>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Firenze, </w:t>
      </w:r>
      <w:r w:rsidR="00155652">
        <w:rPr>
          <w:rFonts w:ascii="Bodoni MT" w:eastAsia="Times New Roman" w:hAnsi="Bodoni MT" w:cs="Times New Roman"/>
          <w:sz w:val="24"/>
          <w:szCs w:val="24"/>
          <w:lang w:eastAsia="it-IT"/>
        </w:rPr>
        <w:t>28 marzo 2017</w:t>
      </w:r>
    </w:p>
    <w:p w:rsidR="00A85067" w:rsidRPr="0001097C" w:rsidRDefault="00A85067" w:rsidP="00A85067">
      <w:pPr>
        <w:spacing w:after="0" w:line="240" w:lineRule="auto"/>
        <w:ind w:left="5041" w:firstLine="709"/>
        <w:rPr>
          <w:rFonts w:ascii="Bodoni MT" w:eastAsia="Times New Roman" w:hAnsi="Bodoni MT" w:cs="Times New Roman"/>
          <w:sz w:val="24"/>
          <w:szCs w:val="24"/>
          <w:lang w:eastAsia="it-IT"/>
        </w:rPr>
      </w:pPr>
    </w:p>
    <w:p w:rsidR="00A85067" w:rsidRPr="0001097C" w:rsidRDefault="00A85067" w:rsidP="00A85067">
      <w:pPr>
        <w:spacing w:after="0" w:line="240" w:lineRule="auto"/>
        <w:ind w:firstLine="142"/>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  L’estensore</w:t>
      </w:r>
      <w:r>
        <w:rPr>
          <w:rFonts w:ascii="Bodoni MT" w:eastAsia="Times New Roman" w:hAnsi="Bodoni MT" w:cs="Times New Roman"/>
          <w:sz w:val="24"/>
          <w:szCs w:val="24"/>
          <w:lang w:eastAsia="it-IT"/>
        </w:rPr>
        <w:tab/>
      </w:r>
      <w:r>
        <w:rPr>
          <w:rFonts w:ascii="Bodoni MT" w:eastAsia="Times New Roman" w:hAnsi="Bodoni MT" w:cs="Times New Roman"/>
          <w:sz w:val="24"/>
          <w:szCs w:val="24"/>
          <w:lang w:eastAsia="it-IT"/>
        </w:rPr>
        <w:tab/>
      </w:r>
      <w:r>
        <w:rPr>
          <w:rFonts w:ascii="Bodoni MT" w:eastAsia="Times New Roman" w:hAnsi="Bodoni MT" w:cs="Times New Roman"/>
          <w:sz w:val="24"/>
          <w:szCs w:val="24"/>
          <w:lang w:eastAsia="it-IT"/>
        </w:rPr>
        <w:tab/>
      </w:r>
      <w:r>
        <w:rPr>
          <w:rFonts w:ascii="Bodoni MT" w:eastAsia="Times New Roman" w:hAnsi="Bodoni MT" w:cs="Times New Roman"/>
          <w:sz w:val="24"/>
          <w:szCs w:val="24"/>
          <w:lang w:eastAsia="it-IT"/>
        </w:rPr>
        <w:tab/>
      </w:r>
      <w:r>
        <w:rPr>
          <w:rFonts w:ascii="Bodoni MT" w:eastAsia="Times New Roman" w:hAnsi="Bodoni MT" w:cs="Times New Roman"/>
          <w:sz w:val="24"/>
          <w:szCs w:val="24"/>
          <w:lang w:eastAsia="it-IT"/>
        </w:rPr>
        <w:tab/>
      </w:r>
      <w:r>
        <w:rPr>
          <w:rFonts w:ascii="Bodoni MT" w:eastAsia="Times New Roman" w:hAnsi="Bodoni MT" w:cs="Times New Roman"/>
          <w:sz w:val="24"/>
          <w:szCs w:val="24"/>
          <w:lang w:eastAsia="it-IT"/>
        </w:rPr>
        <w:tab/>
      </w:r>
      <w:r>
        <w:rPr>
          <w:rFonts w:ascii="Bodoni MT" w:eastAsia="Times New Roman" w:hAnsi="Bodoni MT" w:cs="Times New Roman"/>
          <w:sz w:val="24"/>
          <w:szCs w:val="24"/>
          <w:lang w:eastAsia="it-IT"/>
        </w:rPr>
        <w:tab/>
      </w:r>
      <w:r>
        <w:rPr>
          <w:rFonts w:ascii="Bodoni MT" w:eastAsia="Times New Roman" w:hAnsi="Bodoni MT" w:cs="Times New Roman"/>
          <w:sz w:val="24"/>
          <w:szCs w:val="24"/>
          <w:lang w:eastAsia="it-IT"/>
        </w:rPr>
        <w:tab/>
        <w:t xml:space="preserve">    </w:t>
      </w:r>
      <w:r w:rsidR="00155652">
        <w:rPr>
          <w:rFonts w:ascii="Bodoni MT" w:eastAsia="Times New Roman" w:hAnsi="Bodoni MT" w:cs="Times New Roman"/>
          <w:sz w:val="24"/>
          <w:szCs w:val="24"/>
          <w:lang w:eastAsia="it-IT"/>
        </w:rPr>
        <w:t xml:space="preserve">      </w:t>
      </w:r>
      <w:r w:rsidRPr="0001097C">
        <w:rPr>
          <w:rFonts w:ascii="Bodoni MT" w:eastAsia="Times New Roman" w:hAnsi="Bodoni MT" w:cs="Times New Roman"/>
          <w:sz w:val="24"/>
          <w:szCs w:val="24"/>
          <w:lang w:eastAsia="it-IT"/>
        </w:rPr>
        <w:t>Il presidente</w:t>
      </w:r>
    </w:p>
    <w:p w:rsidR="00A85067" w:rsidRPr="0001097C" w:rsidRDefault="002B047F" w:rsidP="00A85067">
      <w:pPr>
        <w:spacing w:after="0" w:line="240" w:lineRule="auto"/>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   </w:t>
      </w:r>
      <w:r w:rsidR="00155652">
        <w:rPr>
          <w:rFonts w:ascii="Bodoni MT" w:eastAsia="Times New Roman" w:hAnsi="Bodoni MT" w:cs="Times New Roman"/>
          <w:sz w:val="24"/>
          <w:szCs w:val="24"/>
          <w:lang w:eastAsia="it-IT"/>
        </w:rPr>
        <w:t>f.to</w:t>
      </w:r>
      <w:r>
        <w:rPr>
          <w:rFonts w:ascii="Bodoni MT" w:eastAsia="Times New Roman" w:hAnsi="Bodoni MT" w:cs="Times New Roman"/>
          <w:sz w:val="24"/>
          <w:szCs w:val="24"/>
          <w:lang w:eastAsia="it-IT"/>
        </w:rPr>
        <w:t xml:space="preserve"> Mauro Nori</w:t>
      </w:r>
      <w:r>
        <w:rPr>
          <w:rFonts w:ascii="Bodoni MT" w:eastAsia="Times New Roman" w:hAnsi="Bodoni MT" w:cs="Times New Roman"/>
          <w:sz w:val="24"/>
          <w:szCs w:val="24"/>
          <w:lang w:eastAsia="it-IT"/>
        </w:rPr>
        <w:tab/>
      </w:r>
      <w:r>
        <w:rPr>
          <w:rFonts w:ascii="Bodoni MT" w:eastAsia="Times New Roman" w:hAnsi="Bodoni MT" w:cs="Times New Roman"/>
          <w:sz w:val="24"/>
          <w:szCs w:val="24"/>
          <w:lang w:eastAsia="it-IT"/>
        </w:rPr>
        <w:tab/>
      </w:r>
      <w:r w:rsidR="00A85067">
        <w:rPr>
          <w:rFonts w:ascii="Bodoni MT" w:eastAsia="Times New Roman" w:hAnsi="Bodoni MT" w:cs="Times New Roman"/>
          <w:sz w:val="24"/>
          <w:szCs w:val="24"/>
          <w:lang w:eastAsia="it-IT"/>
        </w:rPr>
        <w:tab/>
      </w:r>
      <w:r w:rsidR="00A85067">
        <w:rPr>
          <w:rFonts w:ascii="Bodoni MT" w:eastAsia="Times New Roman" w:hAnsi="Bodoni MT" w:cs="Times New Roman"/>
          <w:sz w:val="24"/>
          <w:szCs w:val="24"/>
          <w:lang w:eastAsia="it-IT"/>
        </w:rPr>
        <w:tab/>
        <w:t xml:space="preserve">                          </w:t>
      </w:r>
      <w:r w:rsidR="00155652">
        <w:rPr>
          <w:rFonts w:ascii="Bodoni MT" w:eastAsia="Times New Roman" w:hAnsi="Bodoni MT" w:cs="Times New Roman"/>
          <w:sz w:val="24"/>
          <w:szCs w:val="24"/>
          <w:lang w:eastAsia="it-IT"/>
        </w:rPr>
        <w:t xml:space="preserve">          f.to</w:t>
      </w:r>
      <w:r>
        <w:rPr>
          <w:rFonts w:ascii="Bodoni MT" w:eastAsia="Times New Roman" w:hAnsi="Bodoni MT" w:cs="Times New Roman"/>
          <w:sz w:val="24"/>
          <w:szCs w:val="24"/>
          <w:lang w:eastAsia="it-IT"/>
        </w:rPr>
        <w:t xml:space="preserve"> </w:t>
      </w:r>
      <w:r w:rsidR="00A85067" w:rsidRPr="0001097C">
        <w:rPr>
          <w:rFonts w:ascii="Bodoni MT" w:eastAsia="Times New Roman" w:hAnsi="Bodoni MT" w:cs="Times New Roman"/>
          <w:sz w:val="24"/>
          <w:szCs w:val="24"/>
          <w:lang w:eastAsia="it-IT"/>
        </w:rPr>
        <w:t>Roberto Tabbita</w:t>
      </w:r>
    </w:p>
    <w:p w:rsidR="00A85067" w:rsidRPr="0001097C" w:rsidRDefault="00A85067" w:rsidP="00A85067">
      <w:pPr>
        <w:spacing w:after="0" w:line="240" w:lineRule="auto"/>
        <w:ind w:firstLine="709"/>
        <w:jc w:val="both"/>
        <w:rPr>
          <w:rFonts w:ascii="Bodoni MT" w:eastAsia="Times New Roman" w:hAnsi="Bodoni MT" w:cs="Times New Roman"/>
          <w:sz w:val="24"/>
          <w:szCs w:val="24"/>
          <w:lang w:eastAsia="it-IT"/>
        </w:rPr>
      </w:pPr>
    </w:p>
    <w:p w:rsidR="00A85067" w:rsidRPr="0001097C" w:rsidRDefault="00A85067" w:rsidP="00A85067">
      <w:pPr>
        <w:spacing w:after="0" w:line="240" w:lineRule="auto"/>
        <w:ind w:firstLine="709"/>
        <w:jc w:val="both"/>
        <w:rPr>
          <w:rFonts w:ascii="Bodoni MT" w:eastAsia="Times New Roman" w:hAnsi="Bodoni MT" w:cs="Times New Roman"/>
          <w:sz w:val="24"/>
          <w:szCs w:val="24"/>
          <w:lang w:eastAsia="it-IT"/>
        </w:rPr>
      </w:pPr>
    </w:p>
    <w:p w:rsidR="00A85067" w:rsidRPr="0001097C" w:rsidRDefault="00A85067" w:rsidP="00A85067">
      <w:pPr>
        <w:spacing w:after="0" w:line="240" w:lineRule="auto"/>
        <w:ind w:firstLine="709"/>
        <w:jc w:val="both"/>
        <w:rPr>
          <w:rFonts w:ascii="Bodoni MT" w:eastAsia="Times New Roman" w:hAnsi="Bodoni MT" w:cs="Times New Roman"/>
          <w:sz w:val="24"/>
          <w:szCs w:val="24"/>
          <w:lang w:eastAsia="it-IT"/>
        </w:rPr>
      </w:pPr>
    </w:p>
    <w:p w:rsidR="00A85067" w:rsidRPr="0001097C" w:rsidRDefault="00A85067" w:rsidP="00A85067">
      <w:pPr>
        <w:spacing w:after="0" w:line="240" w:lineRule="auto"/>
        <w:ind w:firstLine="709"/>
        <w:jc w:val="both"/>
        <w:rPr>
          <w:rFonts w:ascii="Bodoni MT" w:eastAsia="Times New Roman" w:hAnsi="Bodoni MT" w:cs="Times New Roman"/>
          <w:sz w:val="24"/>
          <w:szCs w:val="24"/>
          <w:lang w:eastAsia="it-IT"/>
        </w:rPr>
      </w:pPr>
    </w:p>
    <w:p w:rsidR="00A85067" w:rsidRPr="0001097C" w:rsidRDefault="00A85067" w:rsidP="00A85067">
      <w:pPr>
        <w:spacing w:after="0" w:line="360" w:lineRule="auto"/>
        <w:ind w:firstLine="709"/>
        <w:jc w:val="both"/>
        <w:rPr>
          <w:rFonts w:ascii="Bodoni MT" w:eastAsia="Times New Roman" w:hAnsi="Bodoni MT" w:cs="Times New Roman"/>
          <w:sz w:val="24"/>
          <w:szCs w:val="24"/>
          <w:lang w:eastAsia="it-IT"/>
        </w:rPr>
      </w:pPr>
    </w:p>
    <w:p w:rsidR="00A85067" w:rsidRPr="0001097C" w:rsidRDefault="00A85067" w:rsidP="00A85067">
      <w:pPr>
        <w:spacing w:after="0" w:line="360" w:lineRule="auto"/>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 xml:space="preserve">Depositata in Segreteria il </w:t>
      </w:r>
      <w:r w:rsidR="00155652">
        <w:rPr>
          <w:rFonts w:ascii="Bodoni MT" w:eastAsia="Times New Roman" w:hAnsi="Bodoni MT" w:cs="Times New Roman"/>
          <w:sz w:val="24"/>
          <w:szCs w:val="24"/>
          <w:lang w:eastAsia="it-IT"/>
        </w:rPr>
        <w:t>28 marzo 2017</w:t>
      </w:r>
    </w:p>
    <w:p w:rsidR="00A85067" w:rsidRPr="0001097C" w:rsidRDefault="00A85067" w:rsidP="00A85067">
      <w:pPr>
        <w:spacing w:after="0" w:line="240" w:lineRule="auto"/>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Il funzionario preposto al Servizio di supporto</w:t>
      </w:r>
    </w:p>
    <w:p w:rsidR="00BE2456" w:rsidRPr="00842DE0" w:rsidRDefault="00A85067" w:rsidP="00842DE0">
      <w:pPr>
        <w:spacing w:after="0" w:line="240" w:lineRule="auto"/>
        <w:ind w:left="708" w:firstLine="708"/>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f.to </w:t>
      </w:r>
      <w:r w:rsidR="00842DE0">
        <w:rPr>
          <w:rFonts w:ascii="Bodoni MT" w:eastAsia="Times New Roman" w:hAnsi="Bodoni MT" w:cs="Times New Roman"/>
          <w:sz w:val="24"/>
          <w:szCs w:val="24"/>
          <w:lang w:eastAsia="it-IT"/>
        </w:rPr>
        <w:t>Claudio Felli</w:t>
      </w:r>
    </w:p>
    <w:sectPr w:rsidR="00BE2456" w:rsidRPr="00842DE0" w:rsidSect="00091565">
      <w:headerReference w:type="even" r:id="rId10"/>
      <w:headerReference w:type="default" r:id="rId11"/>
      <w:footerReference w:type="even" r:id="rId12"/>
      <w:footerReference w:type="default" r:id="rId13"/>
      <w:headerReference w:type="first" r:id="rId14"/>
      <w:footerReference w:type="first" r:id="rId15"/>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A98" w:rsidRDefault="00391A98">
      <w:pPr>
        <w:spacing w:after="0" w:line="240" w:lineRule="auto"/>
      </w:pPr>
      <w:r>
        <w:separator/>
      </w:r>
    </w:p>
  </w:endnote>
  <w:endnote w:type="continuationSeparator" w:id="0">
    <w:p w:rsidR="00391A98" w:rsidRDefault="0039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doni MT">
    <w:panose1 w:val="020706030806060202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343" w:rsidRDefault="000B334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926046"/>
      <w:docPartObj>
        <w:docPartGallery w:val="Page Numbers (Bottom of Page)"/>
        <w:docPartUnique/>
      </w:docPartObj>
    </w:sdtPr>
    <w:sdtEndPr>
      <w:rPr>
        <w:rFonts w:ascii="Bodoni MT" w:hAnsi="Bodoni MT"/>
        <w:sz w:val="20"/>
        <w:szCs w:val="20"/>
      </w:rPr>
    </w:sdtEndPr>
    <w:sdtContent>
      <w:p w:rsidR="00091565" w:rsidRPr="00091565" w:rsidRDefault="00AC7A25">
        <w:pPr>
          <w:pStyle w:val="Pidipagina"/>
          <w:jc w:val="center"/>
          <w:rPr>
            <w:rFonts w:ascii="Bodoni MT" w:hAnsi="Bodoni MT"/>
            <w:sz w:val="20"/>
            <w:szCs w:val="20"/>
          </w:rPr>
        </w:pPr>
        <w:r w:rsidRPr="00091565">
          <w:rPr>
            <w:rFonts w:ascii="Bodoni MT" w:hAnsi="Bodoni MT"/>
            <w:sz w:val="20"/>
            <w:szCs w:val="20"/>
          </w:rPr>
          <w:fldChar w:fldCharType="begin"/>
        </w:r>
        <w:r w:rsidRPr="00091565">
          <w:rPr>
            <w:rFonts w:ascii="Bodoni MT" w:hAnsi="Bodoni MT"/>
            <w:sz w:val="20"/>
            <w:szCs w:val="20"/>
          </w:rPr>
          <w:instrText>PAGE   \* MERGEFORMAT</w:instrText>
        </w:r>
        <w:r w:rsidRPr="00091565">
          <w:rPr>
            <w:rFonts w:ascii="Bodoni MT" w:hAnsi="Bodoni MT"/>
            <w:sz w:val="20"/>
            <w:szCs w:val="20"/>
          </w:rPr>
          <w:fldChar w:fldCharType="separate"/>
        </w:r>
        <w:r w:rsidR="00D50A11">
          <w:rPr>
            <w:rFonts w:ascii="Bodoni MT" w:hAnsi="Bodoni MT"/>
            <w:noProof/>
            <w:sz w:val="20"/>
            <w:szCs w:val="20"/>
          </w:rPr>
          <w:t>6</w:t>
        </w:r>
        <w:r w:rsidRPr="00091565">
          <w:rPr>
            <w:rFonts w:ascii="Bodoni MT" w:hAnsi="Bodoni MT"/>
            <w:sz w:val="20"/>
            <w:szCs w:val="20"/>
          </w:rPr>
          <w:fldChar w:fldCharType="end"/>
        </w:r>
      </w:p>
    </w:sdtContent>
  </w:sdt>
  <w:p w:rsidR="00091565" w:rsidRDefault="00D50A1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343" w:rsidRDefault="000B334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A98" w:rsidRDefault="00391A98">
      <w:pPr>
        <w:spacing w:after="0" w:line="240" w:lineRule="auto"/>
      </w:pPr>
      <w:r>
        <w:separator/>
      </w:r>
    </w:p>
  </w:footnote>
  <w:footnote w:type="continuationSeparator" w:id="0">
    <w:p w:rsidR="00391A98" w:rsidRDefault="00391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343" w:rsidRDefault="000B334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343" w:rsidRDefault="000B334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343" w:rsidRDefault="000B334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46754"/>
    <w:multiLevelType w:val="hybridMultilevel"/>
    <w:tmpl w:val="10608B9C"/>
    <w:lvl w:ilvl="0" w:tplc="85907872">
      <w:numFmt w:val="bullet"/>
      <w:lvlText w:val="-"/>
      <w:lvlJc w:val="left"/>
      <w:pPr>
        <w:ind w:left="1069" w:hanging="360"/>
      </w:pPr>
      <w:rPr>
        <w:rFonts w:ascii="Bodoni MT" w:eastAsia="Times New Roman" w:hAnsi="Bodoni MT"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 w15:restartNumberingAfterBreak="0">
    <w:nsid w:val="4FD32A6B"/>
    <w:multiLevelType w:val="hybridMultilevel"/>
    <w:tmpl w:val="B4722F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2E35E31"/>
    <w:multiLevelType w:val="hybridMultilevel"/>
    <w:tmpl w:val="1AD6E03A"/>
    <w:lvl w:ilvl="0" w:tplc="F35840D6">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 w15:restartNumberingAfterBreak="0">
    <w:nsid w:val="66410AF1"/>
    <w:multiLevelType w:val="hybridMultilevel"/>
    <w:tmpl w:val="1FA8B978"/>
    <w:lvl w:ilvl="0" w:tplc="B78AD918">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067"/>
    <w:rsid w:val="0000614A"/>
    <w:rsid w:val="000133B4"/>
    <w:rsid w:val="00020061"/>
    <w:rsid w:val="0002622F"/>
    <w:rsid w:val="00027CAC"/>
    <w:rsid w:val="00033309"/>
    <w:rsid w:val="00042FBB"/>
    <w:rsid w:val="00071FFF"/>
    <w:rsid w:val="00091CD0"/>
    <w:rsid w:val="00094D11"/>
    <w:rsid w:val="000B3343"/>
    <w:rsid w:val="000D3623"/>
    <w:rsid w:val="000E3A7C"/>
    <w:rsid w:val="000F64F6"/>
    <w:rsid w:val="00121B88"/>
    <w:rsid w:val="001316C9"/>
    <w:rsid w:val="00155652"/>
    <w:rsid w:val="001620B7"/>
    <w:rsid w:val="001671BD"/>
    <w:rsid w:val="001F3815"/>
    <w:rsid w:val="001F670F"/>
    <w:rsid w:val="00257557"/>
    <w:rsid w:val="00280780"/>
    <w:rsid w:val="002A1F0B"/>
    <w:rsid w:val="002B047F"/>
    <w:rsid w:val="002B3D0C"/>
    <w:rsid w:val="002C7898"/>
    <w:rsid w:val="002D057D"/>
    <w:rsid w:val="002E3A38"/>
    <w:rsid w:val="003001B2"/>
    <w:rsid w:val="00356716"/>
    <w:rsid w:val="00391A98"/>
    <w:rsid w:val="003A4AF9"/>
    <w:rsid w:val="003D71C0"/>
    <w:rsid w:val="003F2D84"/>
    <w:rsid w:val="003F4FD5"/>
    <w:rsid w:val="00425BB3"/>
    <w:rsid w:val="00466D96"/>
    <w:rsid w:val="004C6EB2"/>
    <w:rsid w:val="004F36A6"/>
    <w:rsid w:val="0052040E"/>
    <w:rsid w:val="00565D38"/>
    <w:rsid w:val="00574148"/>
    <w:rsid w:val="005876D5"/>
    <w:rsid w:val="005B018B"/>
    <w:rsid w:val="005B5079"/>
    <w:rsid w:val="005C7BCB"/>
    <w:rsid w:val="005F5924"/>
    <w:rsid w:val="005F5D68"/>
    <w:rsid w:val="00603CBF"/>
    <w:rsid w:val="00613859"/>
    <w:rsid w:val="0064321E"/>
    <w:rsid w:val="00664B0F"/>
    <w:rsid w:val="00666259"/>
    <w:rsid w:val="00670B6C"/>
    <w:rsid w:val="0068494D"/>
    <w:rsid w:val="0069230E"/>
    <w:rsid w:val="006979B8"/>
    <w:rsid w:val="006A5CE6"/>
    <w:rsid w:val="006B6058"/>
    <w:rsid w:val="007026FE"/>
    <w:rsid w:val="00703EEF"/>
    <w:rsid w:val="0070614D"/>
    <w:rsid w:val="00710C84"/>
    <w:rsid w:val="00726F29"/>
    <w:rsid w:val="007358CA"/>
    <w:rsid w:val="0075335C"/>
    <w:rsid w:val="00797863"/>
    <w:rsid w:val="007E2DC6"/>
    <w:rsid w:val="007F13F1"/>
    <w:rsid w:val="008133F5"/>
    <w:rsid w:val="00813484"/>
    <w:rsid w:val="00820F50"/>
    <w:rsid w:val="00842DE0"/>
    <w:rsid w:val="0086030F"/>
    <w:rsid w:val="00894F35"/>
    <w:rsid w:val="008B6313"/>
    <w:rsid w:val="008E20AF"/>
    <w:rsid w:val="00900B08"/>
    <w:rsid w:val="00917586"/>
    <w:rsid w:val="009245FC"/>
    <w:rsid w:val="009320EE"/>
    <w:rsid w:val="00966540"/>
    <w:rsid w:val="0098069B"/>
    <w:rsid w:val="0099605B"/>
    <w:rsid w:val="009D32F0"/>
    <w:rsid w:val="009D4E9A"/>
    <w:rsid w:val="009E0424"/>
    <w:rsid w:val="009F752E"/>
    <w:rsid w:val="00A008E2"/>
    <w:rsid w:val="00A0746B"/>
    <w:rsid w:val="00A16C8D"/>
    <w:rsid w:val="00A52D21"/>
    <w:rsid w:val="00A85067"/>
    <w:rsid w:val="00A86FDF"/>
    <w:rsid w:val="00A94FDD"/>
    <w:rsid w:val="00AA6883"/>
    <w:rsid w:val="00AB4349"/>
    <w:rsid w:val="00AC7A25"/>
    <w:rsid w:val="00AD1D48"/>
    <w:rsid w:val="00AE0319"/>
    <w:rsid w:val="00AF06BF"/>
    <w:rsid w:val="00AF2006"/>
    <w:rsid w:val="00B02B04"/>
    <w:rsid w:val="00B15F83"/>
    <w:rsid w:val="00B4434D"/>
    <w:rsid w:val="00B601C8"/>
    <w:rsid w:val="00B7550B"/>
    <w:rsid w:val="00B91929"/>
    <w:rsid w:val="00B92280"/>
    <w:rsid w:val="00BB039E"/>
    <w:rsid w:val="00BB1B86"/>
    <w:rsid w:val="00C003DC"/>
    <w:rsid w:val="00C76A2A"/>
    <w:rsid w:val="00D50A11"/>
    <w:rsid w:val="00D8038C"/>
    <w:rsid w:val="00D84FE7"/>
    <w:rsid w:val="00DF38C7"/>
    <w:rsid w:val="00DF3B7F"/>
    <w:rsid w:val="00DF5B09"/>
    <w:rsid w:val="00E06F4D"/>
    <w:rsid w:val="00E3210D"/>
    <w:rsid w:val="00E4019C"/>
    <w:rsid w:val="00EA4FE9"/>
    <w:rsid w:val="00EC1339"/>
    <w:rsid w:val="00EC5E28"/>
    <w:rsid w:val="00ED03E7"/>
    <w:rsid w:val="00EE6790"/>
    <w:rsid w:val="00EF0353"/>
    <w:rsid w:val="00F07607"/>
    <w:rsid w:val="00F26A44"/>
    <w:rsid w:val="00F33888"/>
    <w:rsid w:val="00F742B9"/>
    <w:rsid w:val="00FC76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7"/>
    <o:shapelayout v:ext="edit">
      <o:idmap v:ext="edit" data="1"/>
    </o:shapelayout>
  </w:shapeDefaults>
  <w:decimalSymbol w:val=","/>
  <w:listSeparator w:val=";"/>
  <w15:chartTrackingRefBased/>
  <w15:docId w15:val="{948E0CBD-4C24-4284-B543-F1B263AC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506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A850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5067"/>
  </w:style>
  <w:style w:type="paragraph" w:styleId="Paragrafoelenco">
    <w:name w:val="List Paragraph"/>
    <w:basedOn w:val="Normale"/>
    <w:uiPriority w:val="34"/>
    <w:qFormat/>
    <w:rsid w:val="007E2DC6"/>
    <w:pPr>
      <w:ind w:left="720"/>
      <w:contextualSpacing/>
    </w:pPr>
  </w:style>
  <w:style w:type="paragraph" w:styleId="Testofumetto">
    <w:name w:val="Balloon Text"/>
    <w:basedOn w:val="Normale"/>
    <w:link w:val="TestofumettoCarattere"/>
    <w:uiPriority w:val="99"/>
    <w:semiHidden/>
    <w:unhideWhenUsed/>
    <w:rsid w:val="00B9228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2280"/>
    <w:rPr>
      <w:rFonts w:ascii="Segoe UI" w:hAnsi="Segoe UI" w:cs="Segoe UI"/>
      <w:sz w:val="18"/>
      <w:szCs w:val="18"/>
    </w:rPr>
  </w:style>
  <w:style w:type="paragraph" w:styleId="Intestazione">
    <w:name w:val="header"/>
    <w:basedOn w:val="Normale"/>
    <w:link w:val="IntestazioneCarattere"/>
    <w:uiPriority w:val="99"/>
    <w:unhideWhenUsed/>
    <w:rsid w:val="000B33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3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49845">
      <w:bodyDiv w:val="1"/>
      <w:marLeft w:val="0"/>
      <w:marRight w:val="0"/>
      <w:marTop w:val="150"/>
      <w:marBottom w:val="0"/>
      <w:divBdr>
        <w:top w:val="none" w:sz="0" w:space="0" w:color="auto"/>
        <w:left w:val="none" w:sz="0" w:space="0" w:color="auto"/>
        <w:bottom w:val="none" w:sz="0" w:space="0" w:color="auto"/>
        <w:right w:val="none" w:sz="0" w:space="0" w:color="auto"/>
      </w:divBdr>
      <w:divsChild>
        <w:div w:id="732460367">
          <w:marLeft w:val="0"/>
          <w:marRight w:val="0"/>
          <w:marTop w:val="0"/>
          <w:marBottom w:val="0"/>
          <w:divBdr>
            <w:top w:val="none" w:sz="0" w:space="0" w:color="auto"/>
            <w:left w:val="none" w:sz="0" w:space="0" w:color="auto"/>
            <w:bottom w:val="none" w:sz="0" w:space="0" w:color="auto"/>
            <w:right w:val="none" w:sz="0" w:space="0" w:color="auto"/>
          </w:divBdr>
          <w:divsChild>
            <w:div w:id="2114280299">
              <w:marLeft w:val="0"/>
              <w:marRight w:val="0"/>
              <w:marTop w:val="0"/>
              <w:marBottom w:val="0"/>
              <w:divBdr>
                <w:top w:val="none" w:sz="0" w:space="0" w:color="auto"/>
                <w:left w:val="none" w:sz="0" w:space="0" w:color="auto"/>
                <w:bottom w:val="none" w:sz="0" w:space="0" w:color="auto"/>
                <w:right w:val="none" w:sz="0" w:space="0" w:color="auto"/>
              </w:divBdr>
              <w:divsChild>
                <w:div w:id="1827822458">
                  <w:marLeft w:val="0"/>
                  <w:marRight w:val="0"/>
                  <w:marTop w:val="0"/>
                  <w:marBottom w:val="0"/>
                  <w:divBdr>
                    <w:top w:val="none" w:sz="0" w:space="0" w:color="auto"/>
                    <w:left w:val="none" w:sz="0" w:space="0" w:color="auto"/>
                    <w:bottom w:val="none" w:sz="0" w:space="0" w:color="auto"/>
                    <w:right w:val="none" w:sz="0" w:space="0" w:color="auto"/>
                  </w:divBdr>
                  <w:divsChild>
                    <w:div w:id="1331175332">
                      <w:marLeft w:val="0"/>
                      <w:marRight w:val="0"/>
                      <w:marTop w:val="0"/>
                      <w:marBottom w:val="0"/>
                      <w:divBdr>
                        <w:top w:val="none" w:sz="0" w:space="0" w:color="auto"/>
                        <w:left w:val="none" w:sz="0" w:space="0" w:color="auto"/>
                        <w:bottom w:val="none" w:sz="0" w:space="0" w:color="auto"/>
                        <w:right w:val="none" w:sz="0" w:space="0" w:color="auto"/>
                      </w:divBdr>
                      <w:divsChild>
                        <w:div w:id="1014845895">
                          <w:marLeft w:val="375"/>
                          <w:marRight w:val="0"/>
                          <w:marTop w:val="0"/>
                          <w:marBottom w:val="0"/>
                          <w:divBdr>
                            <w:top w:val="none" w:sz="0" w:space="0" w:color="auto"/>
                            <w:left w:val="none" w:sz="0" w:space="0" w:color="auto"/>
                            <w:bottom w:val="none" w:sz="0" w:space="0" w:color="auto"/>
                            <w:right w:val="none" w:sz="0" w:space="0" w:color="auto"/>
                          </w:divBdr>
                          <w:divsChild>
                            <w:div w:id="1105539671">
                              <w:marLeft w:val="0"/>
                              <w:marRight w:val="0"/>
                              <w:marTop w:val="0"/>
                              <w:marBottom w:val="300"/>
                              <w:divBdr>
                                <w:top w:val="none" w:sz="0" w:space="0" w:color="auto"/>
                                <w:left w:val="single" w:sz="6" w:space="0" w:color="EDEDED"/>
                                <w:bottom w:val="single" w:sz="6" w:space="26" w:color="EDEDED"/>
                                <w:right w:val="single" w:sz="6" w:space="0" w:color="EDEDED"/>
                              </w:divBdr>
                              <w:divsChild>
                                <w:div w:id="1895922251">
                                  <w:marLeft w:val="0"/>
                                  <w:marRight w:val="0"/>
                                  <w:marTop w:val="0"/>
                                  <w:marBottom w:val="0"/>
                                  <w:divBdr>
                                    <w:top w:val="none" w:sz="0" w:space="0" w:color="auto"/>
                                    <w:left w:val="none" w:sz="0" w:space="0" w:color="auto"/>
                                    <w:bottom w:val="none" w:sz="0" w:space="0" w:color="auto"/>
                                    <w:right w:val="none" w:sz="0" w:space="0" w:color="auto"/>
                                  </w:divBdr>
                                  <w:divsChild>
                                    <w:div w:id="749694330">
                                      <w:marLeft w:val="0"/>
                                      <w:marRight w:val="0"/>
                                      <w:marTop w:val="0"/>
                                      <w:marBottom w:val="0"/>
                                      <w:divBdr>
                                        <w:top w:val="none" w:sz="0" w:space="0" w:color="auto"/>
                                        <w:left w:val="none" w:sz="0" w:space="0" w:color="auto"/>
                                        <w:bottom w:val="none" w:sz="0" w:space="0" w:color="auto"/>
                                        <w:right w:val="none" w:sz="0" w:space="0" w:color="auto"/>
                                      </w:divBdr>
                                    </w:div>
                                    <w:div w:id="1974552580">
                                      <w:marLeft w:val="0"/>
                                      <w:marRight w:val="0"/>
                                      <w:marTop w:val="0"/>
                                      <w:marBottom w:val="0"/>
                                      <w:divBdr>
                                        <w:top w:val="none" w:sz="0" w:space="0" w:color="auto"/>
                                        <w:left w:val="none" w:sz="0" w:space="0" w:color="auto"/>
                                        <w:bottom w:val="none" w:sz="0" w:space="0" w:color="auto"/>
                                        <w:right w:val="none" w:sz="0" w:space="0" w:color="auto"/>
                                      </w:divBdr>
                                      <w:divsChild>
                                        <w:div w:id="7559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4650307">
      <w:bodyDiv w:val="1"/>
      <w:marLeft w:val="0"/>
      <w:marRight w:val="0"/>
      <w:marTop w:val="0"/>
      <w:marBottom w:val="0"/>
      <w:divBdr>
        <w:top w:val="none" w:sz="0" w:space="0" w:color="auto"/>
        <w:left w:val="none" w:sz="0" w:space="0" w:color="auto"/>
        <w:bottom w:val="none" w:sz="0" w:space="0" w:color="auto"/>
        <w:right w:val="none" w:sz="0" w:space="0" w:color="auto"/>
      </w:divBdr>
      <w:divsChild>
        <w:div w:id="570432730">
          <w:marLeft w:val="0"/>
          <w:marRight w:val="0"/>
          <w:marTop w:val="0"/>
          <w:marBottom w:val="0"/>
          <w:divBdr>
            <w:top w:val="none" w:sz="0" w:space="0" w:color="auto"/>
            <w:left w:val="none" w:sz="0" w:space="0" w:color="auto"/>
            <w:bottom w:val="none" w:sz="0" w:space="0" w:color="auto"/>
            <w:right w:val="none" w:sz="0" w:space="0" w:color="auto"/>
          </w:divBdr>
          <w:divsChild>
            <w:div w:id="10179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3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7DB7E-0139-4054-9C7D-11DFC36E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2074</Words>
  <Characters>11823</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Corte dei Conti</Company>
  <LinksUpToDate>false</LinksUpToDate>
  <CharactersWithSpaces>13870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Prudente Valentina</dc:creator>
  <cp:keywords/>
  <dc:description/>
  <cp:lastModifiedBy>Battistini Michela</cp:lastModifiedBy>
  <cp:revision>17</cp:revision>
  <cp:lastPrinted>2017-03-28T12:59:00Z</cp:lastPrinted>
  <dcterms:created xsi:type="dcterms:W3CDTF">2017-03-23T17:01:00Z</dcterms:created>
  <dcterms:modified xsi:type="dcterms:W3CDTF">2017-03-28T13:47:00Z</dcterms:modified>
</cp:coreProperties>
</file>