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F6" w:rsidRDefault="002600D0" w:rsidP="002600D0">
      <w:pPr>
        <w:jc w:val="center"/>
      </w:pPr>
      <w:r>
        <w:rPr>
          <w:noProof/>
          <w:lang w:eastAsia="it-IT"/>
        </w:rPr>
        <w:drawing>
          <wp:inline distT="0" distB="0" distL="0" distR="0" wp14:anchorId="3646BD83" wp14:editId="52E1233B">
            <wp:extent cx="571500" cy="546735"/>
            <wp:effectExtent l="0" t="0" r="0" b="5715"/>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46735"/>
                    </a:xfrm>
                    <a:prstGeom prst="rect">
                      <a:avLst/>
                    </a:prstGeom>
                    <a:noFill/>
                  </pic:spPr>
                </pic:pic>
              </a:graphicData>
            </a:graphic>
          </wp:inline>
        </w:drawing>
      </w:r>
    </w:p>
    <w:p w:rsidR="000575F6" w:rsidRPr="000575F6" w:rsidRDefault="000575F6" w:rsidP="000575F6">
      <w:pPr>
        <w:spacing w:after="0" w:line="360" w:lineRule="auto"/>
        <w:rPr>
          <w:rFonts w:ascii="Verdana" w:hAnsi="Verdana"/>
          <w:sz w:val="20"/>
          <w:szCs w:val="20"/>
        </w:rPr>
      </w:pPr>
      <w:r w:rsidRPr="000575F6">
        <w:rPr>
          <w:rFonts w:ascii="Verdana" w:hAnsi="Verdana"/>
          <w:sz w:val="20"/>
          <w:szCs w:val="20"/>
        </w:rPr>
        <w:t xml:space="preserve">    </w:t>
      </w:r>
      <w:r>
        <w:rPr>
          <w:rFonts w:ascii="Verdana" w:hAnsi="Verdana"/>
          <w:sz w:val="20"/>
          <w:szCs w:val="20"/>
        </w:rPr>
        <w:t xml:space="preserve">                                                                            </w:t>
      </w:r>
      <w:r w:rsidR="00F835CC">
        <w:rPr>
          <w:rFonts w:ascii="Verdana" w:hAnsi="Verdana"/>
          <w:sz w:val="20"/>
          <w:szCs w:val="20"/>
        </w:rPr>
        <w:t xml:space="preserve">   Deliberazione n. 174</w:t>
      </w:r>
      <w:r w:rsidR="00297115">
        <w:rPr>
          <w:rFonts w:ascii="Verdana" w:hAnsi="Verdana"/>
          <w:sz w:val="20"/>
          <w:szCs w:val="20"/>
        </w:rPr>
        <w:t>/2015</w:t>
      </w:r>
      <w:r>
        <w:rPr>
          <w:rFonts w:ascii="Verdana" w:hAnsi="Verdana"/>
          <w:sz w:val="20"/>
          <w:szCs w:val="20"/>
        </w:rPr>
        <w:t>/</w:t>
      </w:r>
      <w:r w:rsidRPr="000575F6">
        <w:rPr>
          <w:rFonts w:ascii="Verdana" w:hAnsi="Verdana"/>
          <w:sz w:val="20"/>
          <w:szCs w:val="20"/>
        </w:rPr>
        <w:t>P</w:t>
      </w:r>
      <w:r>
        <w:rPr>
          <w:rFonts w:ascii="Verdana" w:hAnsi="Verdana"/>
          <w:sz w:val="20"/>
          <w:szCs w:val="20"/>
        </w:rPr>
        <w:t>AR</w:t>
      </w:r>
    </w:p>
    <w:p w:rsidR="000575F6" w:rsidRPr="000575F6" w:rsidRDefault="000575F6" w:rsidP="000575F6">
      <w:pPr>
        <w:spacing w:after="0" w:line="360" w:lineRule="auto"/>
        <w:jc w:val="center"/>
        <w:rPr>
          <w:rFonts w:ascii="Verdana" w:hAnsi="Verdana"/>
          <w:sz w:val="20"/>
          <w:szCs w:val="20"/>
        </w:rPr>
      </w:pPr>
      <w:r w:rsidRPr="000575F6">
        <w:rPr>
          <w:rFonts w:ascii="Verdana" w:hAnsi="Verdana"/>
          <w:sz w:val="20"/>
          <w:szCs w:val="20"/>
        </w:rPr>
        <w:t>CORTE DEI CONTI</w:t>
      </w:r>
    </w:p>
    <w:p w:rsidR="000575F6" w:rsidRPr="000575F6" w:rsidRDefault="000575F6" w:rsidP="000575F6">
      <w:pPr>
        <w:spacing w:after="0" w:line="360" w:lineRule="auto"/>
        <w:jc w:val="center"/>
        <w:rPr>
          <w:rFonts w:ascii="Verdana" w:hAnsi="Verdana"/>
          <w:sz w:val="20"/>
          <w:szCs w:val="20"/>
        </w:rPr>
      </w:pPr>
      <w:r w:rsidRPr="000575F6">
        <w:rPr>
          <w:rFonts w:ascii="Verdana" w:hAnsi="Verdana"/>
          <w:sz w:val="20"/>
          <w:szCs w:val="20"/>
        </w:rPr>
        <w:t>SEZIONE REGIONALE DI CONTROLLO PER LE MARCHE</w:t>
      </w:r>
    </w:p>
    <w:p w:rsidR="000575F6" w:rsidRPr="000575F6" w:rsidRDefault="00271889" w:rsidP="000575F6">
      <w:pPr>
        <w:spacing w:after="0" w:line="360" w:lineRule="auto"/>
        <w:jc w:val="center"/>
        <w:rPr>
          <w:rFonts w:ascii="Verdana" w:hAnsi="Verdana"/>
          <w:sz w:val="20"/>
          <w:szCs w:val="20"/>
        </w:rPr>
      </w:pPr>
      <w:r>
        <w:rPr>
          <w:rFonts w:ascii="Verdana" w:hAnsi="Verdana"/>
          <w:sz w:val="20"/>
          <w:szCs w:val="20"/>
        </w:rPr>
        <w:t>n</w:t>
      </w:r>
      <w:r w:rsidR="0010401B">
        <w:rPr>
          <w:rFonts w:ascii="Verdana" w:hAnsi="Verdana"/>
          <w:sz w:val="20"/>
          <w:szCs w:val="20"/>
        </w:rPr>
        <w:t>ell</w:t>
      </w:r>
      <w:r>
        <w:rPr>
          <w:rFonts w:ascii="Verdana" w:hAnsi="Verdana"/>
          <w:sz w:val="20"/>
          <w:szCs w:val="20"/>
        </w:rPr>
        <w:t xml:space="preserve">a camera di consiglio </w:t>
      </w:r>
      <w:r w:rsidR="0010401B">
        <w:rPr>
          <w:rFonts w:ascii="Verdana" w:hAnsi="Verdana"/>
          <w:sz w:val="20"/>
          <w:szCs w:val="20"/>
        </w:rPr>
        <w:t>del</w:t>
      </w:r>
      <w:r w:rsidR="002E0D53">
        <w:rPr>
          <w:rFonts w:ascii="Verdana" w:hAnsi="Verdana"/>
          <w:sz w:val="20"/>
          <w:szCs w:val="20"/>
        </w:rPr>
        <w:t xml:space="preserve"> 22</w:t>
      </w:r>
      <w:r w:rsidR="0040518D">
        <w:rPr>
          <w:rFonts w:ascii="Verdana" w:hAnsi="Verdana"/>
          <w:sz w:val="20"/>
          <w:szCs w:val="20"/>
        </w:rPr>
        <w:t xml:space="preserve"> luglio 2015</w:t>
      </w:r>
    </w:p>
    <w:p w:rsidR="000575F6" w:rsidRPr="000575F6" w:rsidRDefault="000575F6" w:rsidP="000575F6">
      <w:pPr>
        <w:spacing w:after="0" w:line="360" w:lineRule="auto"/>
        <w:jc w:val="center"/>
        <w:rPr>
          <w:rFonts w:ascii="Verdana" w:hAnsi="Verdana"/>
          <w:sz w:val="20"/>
          <w:szCs w:val="20"/>
        </w:rPr>
      </w:pPr>
      <w:r w:rsidRPr="000575F6">
        <w:rPr>
          <w:rFonts w:ascii="Verdana" w:hAnsi="Verdana"/>
          <w:sz w:val="20"/>
          <w:szCs w:val="20"/>
        </w:rPr>
        <w:t>composta dai magistrati:</w:t>
      </w:r>
    </w:p>
    <w:p w:rsidR="00297115" w:rsidRDefault="00297115" w:rsidP="002600D0">
      <w:pPr>
        <w:pStyle w:val="Paragrafoelenco"/>
        <w:numPr>
          <w:ilvl w:val="0"/>
          <w:numId w:val="1"/>
        </w:numPr>
        <w:spacing w:after="0" w:line="360" w:lineRule="auto"/>
        <w:rPr>
          <w:rFonts w:ascii="Verdana" w:hAnsi="Verdana"/>
          <w:sz w:val="20"/>
          <w:szCs w:val="20"/>
        </w:rPr>
      </w:pPr>
      <w:r>
        <w:rPr>
          <w:rFonts w:ascii="Verdana" w:hAnsi="Verdana"/>
          <w:sz w:val="20"/>
          <w:szCs w:val="20"/>
        </w:rPr>
        <w:t>Pres. di Sezione Teresa BICA - Presidente</w:t>
      </w:r>
    </w:p>
    <w:p w:rsidR="000575F6" w:rsidRPr="002600D0" w:rsidRDefault="000575F6" w:rsidP="002600D0">
      <w:pPr>
        <w:pStyle w:val="Paragrafoelenco"/>
        <w:numPr>
          <w:ilvl w:val="0"/>
          <w:numId w:val="1"/>
        </w:numPr>
        <w:spacing w:after="0" w:line="360" w:lineRule="auto"/>
        <w:rPr>
          <w:rFonts w:ascii="Verdana" w:hAnsi="Verdana"/>
          <w:sz w:val="20"/>
          <w:szCs w:val="20"/>
        </w:rPr>
      </w:pPr>
      <w:r w:rsidRPr="002600D0">
        <w:rPr>
          <w:rFonts w:ascii="Verdana" w:hAnsi="Verdana"/>
          <w:sz w:val="20"/>
          <w:szCs w:val="20"/>
        </w:rPr>
        <w:t xml:space="preserve">Cons. Andrea LIBERATI – </w:t>
      </w:r>
      <w:r w:rsidR="00297115">
        <w:rPr>
          <w:rFonts w:ascii="Verdana" w:hAnsi="Verdana"/>
          <w:sz w:val="20"/>
          <w:szCs w:val="20"/>
        </w:rPr>
        <w:t xml:space="preserve">Componente </w:t>
      </w:r>
    </w:p>
    <w:p w:rsidR="000575F6" w:rsidRDefault="000575F6" w:rsidP="002600D0">
      <w:pPr>
        <w:pStyle w:val="Paragrafoelenco"/>
        <w:numPr>
          <w:ilvl w:val="0"/>
          <w:numId w:val="1"/>
        </w:numPr>
        <w:spacing w:after="0" w:line="360" w:lineRule="auto"/>
        <w:rPr>
          <w:rFonts w:ascii="Verdana" w:hAnsi="Verdana"/>
          <w:sz w:val="20"/>
          <w:szCs w:val="20"/>
        </w:rPr>
      </w:pPr>
      <w:r w:rsidRPr="0010401B">
        <w:rPr>
          <w:rFonts w:ascii="Verdana" w:hAnsi="Verdana"/>
          <w:sz w:val="20"/>
          <w:szCs w:val="20"/>
        </w:rPr>
        <w:t>Primo Ref. Valeria FRANCHI – Componente relatore</w:t>
      </w:r>
    </w:p>
    <w:p w:rsidR="0010401B" w:rsidRPr="0010401B" w:rsidRDefault="0010401B" w:rsidP="002600D0">
      <w:pPr>
        <w:pStyle w:val="Paragrafoelenco"/>
        <w:numPr>
          <w:ilvl w:val="0"/>
          <w:numId w:val="1"/>
        </w:numPr>
        <w:spacing w:after="0" w:line="360" w:lineRule="auto"/>
        <w:rPr>
          <w:rFonts w:ascii="Verdana" w:hAnsi="Verdana"/>
          <w:sz w:val="20"/>
          <w:szCs w:val="20"/>
        </w:rPr>
      </w:pPr>
      <w:r w:rsidRPr="0010401B">
        <w:rPr>
          <w:rFonts w:ascii="Verdana" w:hAnsi="Verdana"/>
          <w:sz w:val="20"/>
          <w:szCs w:val="20"/>
        </w:rPr>
        <w:t xml:space="preserve">Primo Ref. Marco DI MARCO – Componente </w:t>
      </w:r>
    </w:p>
    <w:p w:rsidR="000575F6" w:rsidRPr="000575F6" w:rsidRDefault="000575F6" w:rsidP="000575F6">
      <w:pPr>
        <w:spacing w:after="0" w:line="360" w:lineRule="auto"/>
        <w:jc w:val="center"/>
        <w:rPr>
          <w:rFonts w:ascii="Verdana" w:hAnsi="Verdana"/>
          <w:sz w:val="20"/>
          <w:szCs w:val="20"/>
        </w:rPr>
      </w:pPr>
      <w:r w:rsidRPr="000575F6">
        <w:rPr>
          <w:rFonts w:ascii="Verdana" w:hAnsi="Verdana"/>
          <w:sz w:val="20"/>
          <w:szCs w:val="20"/>
        </w:rPr>
        <w:t>* * *</w:t>
      </w:r>
    </w:p>
    <w:p w:rsidR="000575F6" w:rsidRPr="000575F6" w:rsidRDefault="000575F6" w:rsidP="000575F6">
      <w:pPr>
        <w:spacing w:after="0" w:line="360" w:lineRule="auto"/>
        <w:jc w:val="center"/>
        <w:rPr>
          <w:rFonts w:ascii="Verdana" w:hAnsi="Verdana"/>
          <w:b/>
          <w:sz w:val="20"/>
          <w:szCs w:val="20"/>
        </w:rPr>
      </w:pPr>
      <w:r w:rsidRPr="000575F6">
        <w:rPr>
          <w:rFonts w:ascii="Verdana" w:hAnsi="Verdana"/>
          <w:b/>
          <w:sz w:val="20"/>
          <w:szCs w:val="20"/>
        </w:rPr>
        <w:t>PARERE</w:t>
      </w:r>
    </w:p>
    <w:p w:rsidR="00783B8D" w:rsidRDefault="00412C69" w:rsidP="000575F6">
      <w:pPr>
        <w:spacing w:after="0" w:line="360" w:lineRule="auto"/>
        <w:jc w:val="center"/>
        <w:rPr>
          <w:rFonts w:ascii="Verdana" w:hAnsi="Verdana"/>
          <w:b/>
          <w:sz w:val="20"/>
          <w:szCs w:val="20"/>
        </w:rPr>
      </w:pPr>
      <w:r>
        <w:rPr>
          <w:rFonts w:ascii="Verdana" w:hAnsi="Verdana"/>
          <w:b/>
          <w:sz w:val="20"/>
          <w:szCs w:val="20"/>
        </w:rPr>
        <w:t xml:space="preserve">COMUNE DI </w:t>
      </w:r>
      <w:r w:rsidR="0040518D">
        <w:rPr>
          <w:rFonts w:ascii="Verdana" w:hAnsi="Verdana"/>
          <w:b/>
          <w:sz w:val="20"/>
          <w:szCs w:val="20"/>
        </w:rPr>
        <w:t>TRECASTELLI (AN)</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Visto l’art.100 secondo comma della Costituzione;</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Visto il Testo Unico delle leggi sulla Corte dei conti approvato con R.D. 12 luglio 1934, n.1214 e successive modificazioni;</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Vista la legge 14 gennaio 1994 n.20 recante disposizioni in materia di giurisdizione e controllo della Corte dei conti;</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Vista la legge 5 giugno 2003 n.131 recante disposizioni per l’adeguamento dell’ordinamento della Repubblica alla legge costituzionale 18 ottobre 2001 n.3;</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Visto il regolamento (14/2000) per l’organizzazione delle funzioni di controllo della Corte dei conti deliberato dalle Sezioni Riunite in data 16 giugno 2000 e successive modificazioni;</w:t>
      </w:r>
    </w:p>
    <w:p w:rsidR="000575F6" w:rsidRDefault="000575F6" w:rsidP="000575F6">
      <w:pPr>
        <w:spacing w:after="0" w:line="360" w:lineRule="auto"/>
        <w:jc w:val="both"/>
        <w:rPr>
          <w:rFonts w:ascii="Verdana" w:hAnsi="Verdana"/>
          <w:sz w:val="20"/>
          <w:szCs w:val="20"/>
        </w:rPr>
      </w:pPr>
      <w:r w:rsidRPr="000575F6">
        <w:rPr>
          <w:rFonts w:ascii="Verdana" w:hAnsi="Verdana"/>
          <w:sz w:val="20"/>
          <w:szCs w:val="20"/>
        </w:rPr>
        <w:t>Vista la Deliberazione della Sezione delle Autonomie approvata nell’adunanza del 27 aprile 2004 avente ad oggetto gli indirizzi ed i criteri generali per l’esercizio della attività consultiva e successive modificazioni ed integrazioni rese con la Deliberazione n.9 del 4 giugno/3 luglio 2009;</w:t>
      </w:r>
    </w:p>
    <w:p w:rsidR="0010401B" w:rsidRPr="000575F6" w:rsidRDefault="0010401B" w:rsidP="000575F6">
      <w:pPr>
        <w:spacing w:after="0" w:line="360" w:lineRule="auto"/>
        <w:jc w:val="both"/>
        <w:rPr>
          <w:rFonts w:ascii="Verdana" w:hAnsi="Verdana"/>
          <w:sz w:val="20"/>
          <w:szCs w:val="20"/>
        </w:rPr>
      </w:pPr>
      <w:r>
        <w:rPr>
          <w:rFonts w:ascii="Verdana" w:hAnsi="Verdana"/>
          <w:sz w:val="20"/>
          <w:szCs w:val="20"/>
        </w:rPr>
        <w:t>Vista la deliberazione n. 77/PAR/2013 resa da questa Sezione ed avente ad oggetto indirizzi e criteri generali per l’attivazione della funzione consultiva;</w:t>
      </w:r>
    </w:p>
    <w:p w:rsidR="000575F6" w:rsidRDefault="000575F6" w:rsidP="000575F6">
      <w:pPr>
        <w:spacing w:after="0" w:line="360" w:lineRule="auto"/>
        <w:jc w:val="both"/>
        <w:rPr>
          <w:rFonts w:ascii="Verdana" w:hAnsi="Verdana"/>
          <w:sz w:val="20"/>
          <w:szCs w:val="20"/>
        </w:rPr>
      </w:pPr>
      <w:r w:rsidRPr="000575F6">
        <w:rPr>
          <w:rFonts w:ascii="Verdana" w:hAnsi="Verdana"/>
          <w:sz w:val="20"/>
          <w:szCs w:val="20"/>
        </w:rPr>
        <w:t>Vista la richiesta di</w:t>
      </w:r>
      <w:r w:rsidR="008874E5">
        <w:rPr>
          <w:rFonts w:ascii="Verdana" w:hAnsi="Verdana"/>
          <w:sz w:val="20"/>
          <w:szCs w:val="20"/>
        </w:rPr>
        <w:t xml:space="preserve"> parere formulata dal</w:t>
      </w:r>
      <w:r w:rsidR="0040518D">
        <w:rPr>
          <w:rFonts w:ascii="Verdana" w:hAnsi="Verdana"/>
          <w:sz w:val="20"/>
          <w:szCs w:val="20"/>
        </w:rPr>
        <w:t xml:space="preserve"> Comune di Trecastelli </w:t>
      </w:r>
      <w:r w:rsidRPr="000575F6">
        <w:rPr>
          <w:rFonts w:ascii="Verdana" w:hAnsi="Verdana"/>
          <w:sz w:val="20"/>
          <w:szCs w:val="20"/>
        </w:rPr>
        <w:t xml:space="preserve">con nota prot. </w:t>
      </w:r>
      <w:r w:rsidR="0040518D">
        <w:rPr>
          <w:rFonts w:ascii="Verdana" w:hAnsi="Verdana"/>
          <w:sz w:val="20"/>
          <w:szCs w:val="20"/>
        </w:rPr>
        <w:t>6060</w:t>
      </w:r>
      <w:r w:rsidRPr="000575F6">
        <w:rPr>
          <w:rFonts w:ascii="Verdana" w:hAnsi="Verdana"/>
          <w:sz w:val="20"/>
          <w:szCs w:val="20"/>
        </w:rPr>
        <w:t xml:space="preserve"> del </w:t>
      </w:r>
      <w:r w:rsidR="0040518D">
        <w:rPr>
          <w:rFonts w:ascii="Verdana" w:hAnsi="Verdana"/>
          <w:sz w:val="20"/>
          <w:szCs w:val="20"/>
        </w:rPr>
        <w:t>17 giugno 2015</w:t>
      </w:r>
      <w:r w:rsidR="0010401B">
        <w:rPr>
          <w:rFonts w:ascii="Verdana" w:hAnsi="Verdana"/>
          <w:sz w:val="20"/>
          <w:szCs w:val="20"/>
        </w:rPr>
        <w:t xml:space="preserve"> </w:t>
      </w:r>
      <w:r w:rsidRPr="000575F6">
        <w:rPr>
          <w:rFonts w:ascii="Verdana" w:hAnsi="Verdana"/>
          <w:sz w:val="20"/>
          <w:szCs w:val="20"/>
        </w:rPr>
        <w:t>pervenuta</w:t>
      </w:r>
      <w:r w:rsidR="0010401B">
        <w:rPr>
          <w:rFonts w:ascii="Verdana" w:hAnsi="Verdana"/>
          <w:sz w:val="20"/>
          <w:szCs w:val="20"/>
        </w:rPr>
        <w:t xml:space="preserve"> a questa Sezione per il tramite del Cons</w:t>
      </w:r>
      <w:r w:rsidR="006F0E8B">
        <w:rPr>
          <w:rFonts w:ascii="Verdana" w:hAnsi="Verdana"/>
          <w:sz w:val="20"/>
          <w:szCs w:val="20"/>
        </w:rPr>
        <w:t>iglio delle Autonomie locali</w:t>
      </w:r>
      <w:r w:rsidRPr="000575F6">
        <w:rPr>
          <w:rFonts w:ascii="Verdana" w:hAnsi="Verdana"/>
          <w:sz w:val="20"/>
          <w:szCs w:val="20"/>
        </w:rPr>
        <w:t xml:space="preserve"> </w:t>
      </w:r>
      <w:r w:rsidR="00A4583F">
        <w:rPr>
          <w:rFonts w:ascii="Verdana" w:hAnsi="Verdana"/>
          <w:sz w:val="20"/>
          <w:szCs w:val="20"/>
        </w:rPr>
        <w:t xml:space="preserve">con nota prot. </w:t>
      </w:r>
      <w:r w:rsidR="0040518D">
        <w:rPr>
          <w:rFonts w:ascii="Verdana" w:hAnsi="Verdana"/>
          <w:sz w:val="20"/>
          <w:szCs w:val="20"/>
        </w:rPr>
        <w:t>227</w:t>
      </w:r>
      <w:r w:rsidR="006F0E8B">
        <w:rPr>
          <w:rFonts w:ascii="Verdana" w:hAnsi="Verdana"/>
          <w:sz w:val="20"/>
          <w:szCs w:val="20"/>
        </w:rPr>
        <w:t xml:space="preserve"> del </w:t>
      </w:r>
      <w:r w:rsidRPr="000575F6">
        <w:rPr>
          <w:rFonts w:ascii="Verdana" w:hAnsi="Verdana"/>
          <w:sz w:val="20"/>
          <w:szCs w:val="20"/>
        </w:rPr>
        <w:t xml:space="preserve">successivo </w:t>
      </w:r>
      <w:r w:rsidR="0040518D">
        <w:rPr>
          <w:rFonts w:ascii="Verdana" w:hAnsi="Verdana"/>
          <w:sz w:val="20"/>
          <w:szCs w:val="20"/>
        </w:rPr>
        <w:t>2</w:t>
      </w:r>
      <w:r w:rsidR="00393A3B">
        <w:rPr>
          <w:rFonts w:ascii="Verdana" w:hAnsi="Verdana"/>
          <w:sz w:val="20"/>
          <w:szCs w:val="20"/>
        </w:rPr>
        <w:t>6</w:t>
      </w:r>
      <w:r w:rsidR="0040518D">
        <w:rPr>
          <w:rFonts w:ascii="Verdana" w:hAnsi="Verdana"/>
          <w:sz w:val="20"/>
          <w:szCs w:val="20"/>
        </w:rPr>
        <w:t xml:space="preserve"> giugno 2015 </w:t>
      </w:r>
      <w:r w:rsidRPr="000575F6">
        <w:rPr>
          <w:rFonts w:ascii="Verdana" w:hAnsi="Verdana"/>
          <w:sz w:val="20"/>
          <w:szCs w:val="20"/>
        </w:rPr>
        <w:t xml:space="preserve">ed assunta al protocollo (n. </w:t>
      </w:r>
      <w:r w:rsidR="0040518D">
        <w:rPr>
          <w:rFonts w:ascii="Verdana" w:hAnsi="Verdana"/>
          <w:sz w:val="20"/>
          <w:szCs w:val="20"/>
        </w:rPr>
        <w:t>1841</w:t>
      </w:r>
      <w:r w:rsidRPr="000575F6">
        <w:rPr>
          <w:rFonts w:ascii="Verdana" w:hAnsi="Verdana"/>
          <w:sz w:val="20"/>
          <w:szCs w:val="20"/>
        </w:rPr>
        <w:t>)</w:t>
      </w:r>
      <w:r w:rsidR="00A4583F">
        <w:rPr>
          <w:rFonts w:ascii="Verdana" w:hAnsi="Verdana"/>
          <w:sz w:val="20"/>
          <w:szCs w:val="20"/>
        </w:rPr>
        <w:t xml:space="preserve"> i</w:t>
      </w:r>
      <w:r w:rsidR="00053AA5">
        <w:rPr>
          <w:rFonts w:ascii="Verdana" w:hAnsi="Verdana"/>
          <w:sz w:val="20"/>
          <w:szCs w:val="20"/>
        </w:rPr>
        <w:t xml:space="preserve">l </w:t>
      </w:r>
      <w:r w:rsidR="0040518D">
        <w:rPr>
          <w:rFonts w:ascii="Verdana" w:hAnsi="Verdana"/>
          <w:sz w:val="20"/>
          <w:szCs w:val="20"/>
        </w:rPr>
        <w:t>29 giugno 2015</w:t>
      </w:r>
      <w:r w:rsidRPr="000575F6">
        <w:rPr>
          <w:rFonts w:ascii="Verdana" w:hAnsi="Verdana"/>
          <w:sz w:val="20"/>
          <w:szCs w:val="20"/>
        </w:rPr>
        <w:t>;</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 xml:space="preserve">Visto il successivo provvedimento con il quale il Presidente ha nominato il </w:t>
      </w:r>
      <w:r w:rsidR="008874E5">
        <w:rPr>
          <w:rFonts w:ascii="Verdana" w:hAnsi="Verdana"/>
          <w:sz w:val="20"/>
          <w:szCs w:val="20"/>
        </w:rPr>
        <w:t xml:space="preserve">Primo </w:t>
      </w:r>
      <w:r w:rsidRPr="000575F6">
        <w:rPr>
          <w:rFonts w:ascii="Verdana" w:hAnsi="Verdana"/>
          <w:sz w:val="20"/>
          <w:szCs w:val="20"/>
        </w:rPr>
        <w:t>Referendario Valeria Franchi relatore per la questione in esame;</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 xml:space="preserve">Udito nella Camera di consiglio il relatore dott.ssa Valeria Franchi;  </w:t>
      </w:r>
    </w:p>
    <w:p w:rsidR="000575F6" w:rsidRPr="000575F6" w:rsidRDefault="000575F6" w:rsidP="000575F6">
      <w:pPr>
        <w:spacing w:after="0" w:line="360" w:lineRule="auto"/>
        <w:jc w:val="both"/>
        <w:rPr>
          <w:rFonts w:ascii="Verdana" w:hAnsi="Verdana"/>
          <w:sz w:val="20"/>
          <w:szCs w:val="20"/>
        </w:rPr>
      </w:pPr>
      <w:r w:rsidRPr="000575F6">
        <w:rPr>
          <w:rFonts w:ascii="Verdana" w:hAnsi="Verdana"/>
          <w:sz w:val="20"/>
          <w:szCs w:val="20"/>
        </w:rPr>
        <w:t xml:space="preserve">Ritenuto in </w:t>
      </w:r>
    </w:p>
    <w:p w:rsidR="000575F6" w:rsidRPr="002600D0" w:rsidRDefault="000575F6" w:rsidP="000575F6">
      <w:pPr>
        <w:spacing w:after="0" w:line="360" w:lineRule="auto"/>
        <w:jc w:val="center"/>
        <w:rPr>
          <w:rFonts w:ascii="Verdana" w:hAnsi="Verdana"/>
          <w:b/>
          <w:sz w:val="20"/>
          <w:szCs w:val="20"/>
        </w:rPr>
      </w:pPr>
      <w:r w:rsidRPr="002600D0">
        <w:rPr>
          <w:rFonts w:ascii="Verdana" w:hAnsi="Verdana"/>
          <w:b/>
          <w:sz w:val="20"/>
          <w:szCs w:val="20"/>
        </w:rPr>
        <w:t>F A T T O</w:t>
      </w:r>
    </w:p>
    <w:p w:rsidR="00E84AEE" w:rsidRDefault="00783B8D" w:rsidP="00D1765E">
      <w:pPr>
        <w:spacing w:after="0" w:line="360" w:lineRule="auto"/>
        <w:ind w:firstLine="708"/>
        <w:jc w:val="both"/>
        <w:rPr>
          <w:rFonts w:ascii="Verdana" w:hAnsi="Verdana"/>
          <w:sz w:val="20"/>
          <w:szCs w:val="20"/>
        </w:rPr>
      </w:pPr>
      <w:r>
        <w:rPr>
          <w:rFonts w:ascii="Verdana" w:hAnsi="Verdana"/>
          <w:sz w:val="20"/>
          <w:szCs w:val="20"/>
        </w:rPr>
        <w:lastRenderedPageBreak/>
        <w:t xml:space="preserve">Il Comune di </w:t>
      </w:r>
      <w:r w:rsidR="0040518D">
        <w:rPr>
          <w:rFonts w:ascii="Verdana" w:hAnsi="Verdana"/>
          <w:sz w:val="20"/>
          <w:szCs w:val="20"/>
        </w:rPr>
        <w:t>Trecastelli</w:t>
      </w:r>
      <w:r w:rsidR="00053AA5">
        <w:rPr>
          <w:rFonts w:ascii="Verdana" w:hAnsi="Verdana"/>
          <w:sz w:val="20"/>
          <w:szCs w:val="20"/>
        </w:rPr>
        <w:t xml:space="preserve">, </w:t>
      </w:r>
      <w:r w:rsidR="000575F6" w:rsidRPr="000575F6">
        <w:rPr>
          <w:rFonts w:ascii="Verdana" w:hAnsi="Verdana"/>
          <w:sz w:val="20"/>
          <w:szCs w:val="20"/>
        </w:rPr>
        <w:t xml:space="preserve">con nota a firma del </w:t>
      </w:r>
      <w:r>
        <w:rPr>
          <w:rFonts w:ascii="Verdana" w:hAnsi="Verdana"/>
          <w:sz w:val="20"/>
          <w:szCs w:val="20"/>
        </w:rPr>
        <w:t xml:space="preserve">Sindaco </w:t>
      </w:r>
      <w:r w:rsidR="001C5A57">
        <w:rPr>
          <w:rFonts w:ascii="Verdana" w:hAnsi="Verdana"/>
          <w:sz w:val="20"/>
          <w:szCs w:val="20"/>
        </w:rPr>
        <w:t>p.t.</w:t>
      </w:r>
      <w:r w:rsidR="00FA1D6C">
        <w:rPr>
          <w:rFonts w:ascii="Verdana" w:hAnsi="Verdana"/>
          <w:sz w:val="20"/>
          <w:szCs w:val="20"/>
        </w:rPr>
        <w:t xml:space="preserve">, </w:t>
      </w:r>
      <w:r w:rsidR="000575F6" w:rsidRPr="000575F6">
        <w:rPr>
          <w:rFonts w:ascii="Verdana" w:hAnsi="Verdana"/>
          <w:sz w:val="20"/>
          <w:szCs w:val="20"/>
        </w:rPr>
        <w:t>ha formulato, ai sensi dell’art.</w:t>
      </w:r>
      <w:r w:rsidR="000F04E7">
        <w:rPr>
          <w:rFonts w:ascii="Verdana" w:hAnsi="Verdana"/>
          <w:sz w:val="20"/>
          <w:szCs w:val="20"/>
        </w:rPr>
        <w:t xml:space="preserve"> </w:t>
      </w:r>
      <w:r w:rsidR="000575F6" w:rsidRPr="000575F6">
        <w:rPr>
          <w:rFonts w:ascii="Verdana" w:hAnsi="Verdana"/>
          <w:sz w:val="20"/>
          <w:szCs w:val="20"/>
        </w:rPr>
        <w:t>7 comma 8 della L.</w:t>
      </w:r>
      <w:r w:rsidR="005800A9">
        <w:rPr>
          <w:rFonts w:ascii="Verdana" w:hAnsi="Verdana"/>
          <w:sz w:val="20"/>
          <w:szCs w:val="20"/>
        </w:rPr>
        <w:t xml:space="preserve"> </w:t>
      </w:r>
      <w:r w:rsidR="000575F6" w:rsidRPr="000575F6">
        <w:rPr>
          <w:rFonts w:ascii="Verdana" w:hAnsi="Verdana"/>
          <w:sz w:val="20"/>
          <w:szCs w:val="20"/>
        </w:rPr>
        <w:t>131/03, una richiesta di parere in ordine alla</w:t>
      </w:r>
      <w:r w:rsidR="0040518D">
        <w:rPr>
          <w:rFonts w:ascii="Verdana" w:hAnsi="Verdana"/>
          <w:sz w:val="20"/>
          <w:szCs w:val="20"/>
        </w:rPr>
        <w:t xml:space="preserve"> attribuzione dei diritti di rogito al segretario comunale e, segnatamente, in ordine alla </w:t>
      </w:r>
      <w:r w:rsidR="00053AA5">
        <w:rPr>
          <w:rFonts w:ascii="Verdana" w:hAnsi="Verdana"/>
          <w:sz w:val="20"/>
          <w:szCs w:val="20"/>
        </w:rPr>
        <w:t>corretta interpretazione dell</w:t>
      </w:r>
      <w:r w:rsidR="0040518D">
        <w:rPr>
          <w:rFonts w:ascii="Verdana" w:hAnsi="Verdana"/>
          <w:sz w:val="20"/>
          <w:szCs w:val="20"/>
        </w:rPr>
        <w:t xml:space="preserve">’art. 10 comma 2 bis del d.l. 90/2014 a mente del quale “negli enti locali privi di dipendenti con qualifica dirigenziale e, comunque a tutti i segretari che non hanno la qualifica dirigenziale, una quota del provento annuale spettante al comune ai sensi </w:t>
      </w:r>
      <w:r w:rsidR="00E84AEE">
        <w:rPr>
          <w:rFonts w:ascii="Verdana" w:hAnsi="Verdana"/>
          <w:sz w:val="20"/>
          <w:szCs w:val="20"/>
        </w:rPr>
        <w:t>dell’art. 30, seconda comma, della legge 15 novembre 1973, n. 734 (…) è attribuita al segretario comunale rogante, in misura non superiore ad un quinto dello stipendio in godimento”.</w:t>
      </w:r>
    </w:p>
    <w:p w:rsidR="00BB46E4" w:rsidRDefault="00E84AEE" w:rsidP="00D1765E">
      <w:pPr>
        <w:spacing w:after="0" w:line="360" w:lineRule="auto"/>
        <w:ind w:firstLine="708"/>
        <w:jc w:val="both"/>
        <w:rPr>
          <w:rFonts w:ascii="Verdana" w:hAnsi="Verdana"/>
          <w:sz w:val="20"/>
          <w:szCs w:val="20"/>
        </w:rPr>
      </w:pPr>
      <w:r>
        <w:rPr>
          <w:rFonts w:ascii="Verdana" w:hAnsi="Verdana"/>
          <w:sz w:val="20"/>
          <w:szCs w:val="20"/>
        </w:rPr>
        <w:t>Premesso in fatto che</w:t>
      </w:r>
    </w:p>
    <w:p w:rsidR="00BB46E4" w:rsidRDefault="00E84AEE" w:rsidP="00BB46E4">
      <w:pPr>
        <w:pStyle w:val="Paragrafoelenco"/>
        <w:numPr>
          <w:ilvl w:val="0"/>
          <w:numId w:val="13"/>
        </w:numPr>
        <w:spacing w:after="0" w:line="360" w:lineRule="auto"/>
        <w:jc w:val="both"/>
        <w:rPr>
          <w:rFonts w:ascii="Verdana" w:hAnsi="Verdana"/>
          <w:sz w:val="20"/>
          <w:szCs w:val="20"/>
        </w:rPr>
      </w:pPr>
      <w:r w:rsidRPr="00BB46E4">
        <w:rPr>
          <w:rFonts w:ascii="Verdana" w:hAnsi="Verdana"/>
          <w:sz w:val="20"/>
          <w:szCs w:val="20"/>
        </w:rPr>
        <w:t>il segretario comunale dell’Ente</w:t>
      </w:r>
      <w:r w:rsidR="00BB46E4" w:rsidRPr="00BB46E4">
        <w:rPr>
          <w:rFonts w:ascii="Verdana" w:hAnsi="Verdana"/>
          <w:sz w:val="20"/>
          <w:szCs w:val="20"/>
        </w:rPr>
        <w:t>,</w:t>
      </w:r>
      <w:r w:rsidRPr="00BB46E4">
        <w:rPr>
          <w:rFonts w:ascii="Verdana" w:hAnsi="Verdana"/>
          <w:sz w:val="20"/>
          <w:szCs w:val="20"/>
        </w:rPr>
        <w:t xml:space="preserve"> iscritto alla categoria professionale B</w:t>
      </w:r>
      <w:r w:rsidR="00BB46E4" w:rsidRPr="00BB46E4">
        <w:rPr>
          <w:rFonts w:ascii="Verdana" w:hAnsi="Verdana"/>
          <w:sz w:val="20"/>
          <w:szCs w:val="20"/>
        </w:rPr>
        <w:t>, presta servizio in sede di segreteria convenzionata di</w:t>
      </w:r>
      <w:r w:rsidR="00BB46E4">
        <w:rPr>
          <w:rFonts w:ascii="Verdana" w:hAnsi="Verdana"/>
          <w:sz w:val="20"/>
          <w:szCs w:val="20"/>
        </w:rPr>
        <w:t xml:space="preserve"> classe III con un altro Comune;</w:t>
      </w:r>
    </w:p>
    <w:p w:rsidR="0075377B" w:rsidRPr="00BB46E4" w:rsidRDefault="00BB46E4" w:rsidP="00BB46E4">
      <w:pPr>
        <w:pStyle w:val="Paragrafoelenco"/>
        <w:numPr>
          <w:ilvl w:val="0"/>
          <w:numId w:val="13"/>
        </w:numPr>
        <w:spacing w:after="0" w:line="360" w:lineRule="auto"/>
        <w:jc w:val="both"/>
        <w:rPr>
          <w:rFonts w:ascii="Verdana" w:hAnsi="Verdana"/>
          <w:sz w:val="20"/>
          <w:szCs w:val="20"/>
        </w:rPr>
      </w:pPr>
      <w:r w:rsidRPr="00BB46E4">
        <w:rPr>
          <w:rFonts w:ascii="Verdana" w:hAnsi="Verdana"/>
          <w:sz w:val="20"/>
          <w:szCs w:val="20"/>
        </w:rPr>
        <w:t xml:space="preserve"> entrambi gli Enti sono privi di dipendenti con qualifica dirigenziale avendo solo personale incaricato di posizione organizzativa, </w:t>
      </w:r>
      <w:r w:rsidR="0040518D" w:rsidRPr="00BB46E4">
        <w:rPr>
          <w:rFonts w:ascii="Verdana" w:hAnsi="Verdana"/>
          <w:sz w:val="20"/>
          <w:szCs w:val="20"/>
        </w:rPr>
        <w:t xml:space="preserve"> </w:t>
      </w:r>
    </w:p>
    <w:p w:rsidR="0016261E" w:rsidRDefault="00BB46E4" w:rsidP="00D1765E">
      <w:pPr>
        <w:spacing w:after="0" w:line="360" w:lineRule="auto"/>
        <w:ind w:firstLine="708"/>
        <w:jc w:val="both"/>
        <w:rPr>
          <w:rFonts w:ascii="Verdana" w:hAnsi="Verdana"/>
          <w:sz w:val="20"/>
          <w:szCs w:val="20"/>
        </w:rPr>
      </w:pPr>
      <w:r>
        <w:rPr>
          <w:rFonts w:ascii="Verdana" w:hAnsi="Verdana"/>
          <w:sz w:val="20"/>
          <w:szCs w:val="20"/>
        </w:rPr>
        <w:t xml:space="preserve">il Comune istante chiede, partitamente, di conoscere il motivato avviso della Sezione in merito alla individuazione delle categorie previste dal CCNL del comparto dei segretari comunali e provinciali da equiparare, ai fini della predetta normativa, alla qualifica dirigenziale nonché in merito ai presupposti cui è subordinata la corresponsione degli emolumenti in parola precisandosi, in particolare, se la corresponsione dei diritti di rogito sia dovuta al segretario per il solo fatto </w:t>
      </w:r>
      <w:r w:rsidR="0016261E">
        <w:rPr>
          <w:rFonts w:ascii="Verdana" w:hAnsi="Verdana"/>
          <w:sz w:val="20"/>
          <w:szCs w:val="20"/>
        </w:rPr>
        <w:t>che in nessuno dei due enti convenzionati siano presenti dirigenti a prescindere dalla qualifica del segretario.</w:t>
      </w:r>
    </w:p>
    <w:p w:rsidR="00EA3119" w:rsidRDefault="00EA3119" w:rsidP="00EA3119">
      <w:pPr>
        <w:spacing w:after="0" w:line="360" w:lineRule="auto"/>
        <w:jc w:val="center"/>
        <w:rPr>
          <w:rFonts w:ascii="Verdana" w:hAnsi="Verdana"/>
          <w:b/>
          <w:sz w:val="20"/>
          <w:szCs w:val="20"/>
        </w:rPr>
      </w:pPr>
      <w:r w:rsidRPr="002600D0">
        <w:rPr>
          <w:rFonts w:ascii="Verdana" w:hAnsi="Verdana"/>
          <w:b/>
          <w:sz w:val="20"/>
          <w:szCs w:val="20"/>
        </w:rPr>
        <w:t>MOTIVAZIONE DELLA DECISIONE</w:t>
      </w:r>
    </w:p>
    <w:p w:rsidR="00D90383" w:rsidRPr="00EA7211" w:rsidRDefault="00EA7211" w:rsidP="00D90383">
      <w:pPr>
        <w:pStyle w:val="Paragrafoelenco"/>
        <w:numPr>
          <w:ilvl w:val="0"/>
          <w:numId w:val="12"/>
        </w:numPr>
        <w:spacing w:after="0" w:line="360" w:lineRule="auto"/>
        <w:jc w:val="both"/>
        <w:rPr>
          <w:rFonts w:ascii="Verdana" w:hAnsi="Verdana"/>
          <w:b/>
          <w:smallCaps/>
          <w:sz w:val="20"/>
          <w:szCs w:val="20"/>
        </w:rPr>
      </w:pPr>
      <w:r w:rsidRPr="00EA7211">
        <w:rPr>
          <w:rFonts w:ascii="Verdana" w:hAnsi="Verdana"/>
          <w:b/>
          <w:smallCaps/>
          <w:sz w:val="20"/>
          <w:szCs w:val="20"/>
        </w:rPr>
        <w:t>i</w:t>
      </w:r>
      <w:r w:rsidR="00D90383" w:rsidRPr="00EA7211">
        <w:rPr>
          <w:rFonts w:ascii="Verdana" w:hAnsi="Verdana"/>
          <w:b/>
          <w:smallCaps/>
          <w:sz w:val="20"/>
          <w:szCs w:val="20"/>
        </w:rPr>
        <w:t>n ordine alle preliminari questioni di ricevibilità e di ammissibilità</w:t>
      </w:r>
    </w:p>
    <w:p w:rsidR="00EA3119" w:rsidRPr="000575F6" w:rsidRDefault="00EA3119" w:rsidP="00EA3119">
      <w:pPr>
        <w:spacing w:after="0" w:line="360" w:lineRule="auto"/>
        <w:ind w:firstLine="708"/>
        <w:jc w:val="both"/>
        <w:rPr>
          <w:rFonts w:ascii="Verdana" w:hAnsi="Verdana"/>
          <w:sz w:val="20"/>
          <w:szCs w:val="20"/>
        </w:rPr>
      </w:pPr>
      <w:r w:rsidRPr="000575F6">
        <w:rPr>
          <w:rFonts w:ascii="Verdana" w:hAnsi="Verdana"/>
          <w:sz w:val="20"/>
          <w:szCs w:val="20"/>
        </w:rPr>
        <w:t>L’art. 7 comma 8 della L. 131/03 ha intestato alle Sezioni Regionali della Corte dei conti un’importante funzione consultiva da esercitarsi attraverso pareri in materia di contabilità pubblica su richieste provenienti da Regioni nonché da Comuni, Province e Città metropolitane, di norma tramite il Consiglio delle Autonomie locali se istituito.</w:t>
      </w:r>
    </w:p>
    <w:p w:rsidR="00EA3119" w:rsidRPr="000575F6" w:rsidRDefault="00EA3119" w:rsidP="00EA3119">
      <w:pPr>
        <w:spacing w:after="0" w:line="360" w:lineRule="auto"/>
        <w:ind w:firstLine="708"/>
        <w:jc w:val="both"/>
        <w:rPr>
          <w:rFonts w:ascii="Verdana" w:hAnsi="Verdana"/>
          <w:sz w:val="20"/>
          <w:szCs w:val="20"/>
        </w:rPr>
      </w:pPr>
      <w:r w:rsidRPr="000575F6">
        <w:rPr>
          <w:rFonts w:ascii="Verdana" w:hAnsi="Verdana"/>
          <w:sz w:val="20"/>
          <w:szCs w:val="20"/>
        </w:rPr>
        <w:t>In vista di una delimitazione dei presupposti in costanza dei quali detta funzione può svolgersi è intervenuta la Sezione delle Autonomie che, dapprima con la deliberazione in data 27 aprile 2004 e di recente con la deliberazione in data 4 giugno 2009, ha fissato rigorosi requisiti sia di carattere soggettivo (dell’organo richiedente) sia di carattere oggettivo (ascrivibilità del quesito alla materia della contabilità pubblica e carattere generale ed astratto del quesito medesimo) la cui verifica deve, secondo un principio ormai pacificamente acquisito, precedere l’esame del merito della richiesta.</w:t>
      </w:r>
    </w:p>
    <w:p w:rsidR="00EA3119" w:rsidRDefault="00EA3119" w:rsidP="00EA3119">
      <w:pPr>
        <w:pStyle w:val="bollo1"/>
        <w:widowControl w:val="0"/>
        <w:spacing w:line="360" w:lineRule="auto"/>
        <w:ind w:firstLine="708"/>
        <w:outlineLvl w:val="0"/>
        <w:rPr>
          <w:rFonts w:ascii="Verdana" w:hAnsi="Verdana"/>
          <w:color w:val="000000"/>
          <w:sz w:val="20"/>
        </w:rPr>
      </w:pPr>
      <w:r>
        <w:rPr>
          <w:rFonts w:ascii="Verdana" w:hAnsi="Verdana"/>
          <w:color w:val="000000"/>
          <w:sz w:val="20"/>
        </w:rPr>
        <w:t>Sulla specifica materia la Sezione di controllo per la Regione Marche è, inoltre, intervenuta, con propria deliberazione (</w:t>
      </w:r>
      <w:r w:rsidRPr="00D32993">
        <w:rPr>
          <w:rFonts w:ascii="Verdana" w:hAnsi="Verdana"/>
          <w:i/>
          <w:color w:val="000000"/>
          <w:sz w:val="20"/>
        </w:rPr>
        <w:t>cfr</w:t>
      </w:r>
      <w:r>
        <w:rPr>
          <w:rFonts w:ascii="Verdana" w:hAnsi="Verdana"/>
          <w:color w:val="000000"/>
          <w:sz w:val="20"/>
        </w:rPr>
        <w:t xml:space="preserve">. </w:t>
      </w:r>
      <w:r w:rsidR="00C910D7">
        <w:rPr>
          <w:rFonts w:ascii="Verdana" w:hAnsi="Verdana"/>
          <w:color w:val="000000"/>
          <w:sz w:val="20"/>
        </w:rPr>
        <w:t xml:space="preserve">n. </w:t>
      </w:r>
      <w:r>
        <w:rPr>
          <w:rFonts w:ascii="Verdana" w:hAnsi="Verdana"/>
          <w:color w:val="000000"/>
          <w:sz w:val="20"/>
        </w:rPr>
        <w:t>77/PAR/2013), a dettare criteri e principi generali per la corretta attivazione della funzione consultiva.</w:t>
      </w:r>
    </w:p>
    <w:p w:rsidR="00EA3119" w:rsidRDefault="00EA3119" w:rsidP="00EA3119">
      <w:pPr>
        <w:spacing w:after="0" w:line="360" w:lineRule="auto"/>
        <w:ind w:firstLine="708"/>
        <w:jc w:val="both"/>
        <w:rPr>
          <w:rFonts w:ascii="Verdana" w:hAnsi="Verdana"/>
          <w:sz w:val="20"/>
          <w:szCs w:val="20"/>
        </w:rPr>
      </w:pPr>
      <w:r>
        <w:rPr>
          <w:rFonts w:ascii="Verdana" w:hAnsi="Verdana"/>
          <w:sz w:val="20"/>
          <w:szCs w:val="20"/>
        </w:rPr>
        <w:t>Ebbene, sul punto,</w:t>
      </w:r>
      <w:r w:rsidRPr="000575F6">
        <w:rPr>
          <w:rFonts w:ascii="Verdana" w:hAnsi="Verdana"/>
          <w:sz w:val="20"/>
          <w:szCs w:val="20"/>
        </w:rPr>
        <w:t xml:space="preserve"> rileva il Collegio c</w:t>
      </w:r>
      <w:r>
        <w:rPr>
          <w:rFonts w:ascii="Verdana" w:hAnsi="Verdana"/>
          <w:sz w:val="20"/>
          <w:szCs w:val="20"/>
        </w:rPr>
        <w:t xml:space="preserve">ome l’istanza che ne occupa possa ritenersi ricevibile, essendo pervenuta alla Sezione – conformemente alle modalità procedurali previste dalla menzionata deliberazione n. 77/PAR/2013 – per il tramite del Cal e come la stessa </w:t>
      </w:r>
      <w:r>
        <w:rPr>
          <w:rFonts w:ascii="Verdana" w:hAnsi="Verdana"/>
          <w:sz w:val="20"/>
          <w:szCs w:val="20"/>
        </w:rPr>
        <w:lastRenderedPageBreak/>
        <w:t xml:space="preserve">soddisfi il </w:t>
      </w:r>
      <w:r w:rsidRPr="00A91596">
        <w:rPr>
          <w:rFonts w:ascii="Verdana" w:hAnsi="Verdana"/>
          <w:sz w:val="20"/>
          <w:szCs w:val="20"/>
        </w:rPr>
        <w:t>prescritto requisito soggettivo sia con riguardo all’Ente richiedente sia con riguardo all’organo legittimato ad avanzare istanza di parere</w:t>
      </w:r>
      <w:r>
        <w:rPr>
          <w:rFonts w:ascii="Verdana" w:hAnsi="Verdana"/>
          <w:sz w:val="20"/>
          <w:szCs w:val="20"/>
        </w:rPr>
        <w:t>.</w:t>
      </w:r>
    </w:p>
    <w:p w:rsidR="00EA3119" w:rsidRDefault="00EA3119" w:rsidP="00EA3119">
      <w:pPr>
        <w:spacing w:after="0" w:line="360" w:lineRule="auto"/>
        <w:ind w:firstLine="708"/>
        <w:jc w:val="both"/>
        <w:rPr>
          <w:rFonts w:ascii="Verdana" w:hAnsi="Verdana"/>
          <w:sz w:val="20"/>
          <w:szCs w:val="20"/>
        </w:rPr>
      </w:pPr>
      <w:r>
        <w:rPr>
          <w:rFonts w:ascii="Verdana" w:hAnsi="Verdana"/>
          <w:sz w:val="20"/>
          <w:szCs w:val="20"/>
        </w:rPr>
        <w:t>L</w:t>
      </w:r>
      <w:r w:rsidRPr="00A91596">
        <w:rPr>
          <w:rFonts w:ascii="Verdana" w:hAnsi="Verdana"/>
          <w:sz w:val="20"/>
          <w:szCs w:val="20"/>
        </w:rPr>
        <w:t>a r</w:t>
      </w:r>
      <w:r>
        <w:rPr>
          <w:rFonts w:ascii="Verdana" w:hAnsi="Verdana"/>
          <w:sz w:val="20"/>
          <w:szCs w:val="20"/>
        </w:rPr>
        <w:t>ichiesta perviene, invero, dal</w:t>
      </w:r>
      <w:r w:rsidR="007A3ED3">
        <w:rPr>
          <w:rFonts w:ascii="Verdana" w:hAnsi="Verdana"/>
          <w:sz w:val="20"/>
          <w:szCs w:val="20"/>
        </w:rPr>
        <w:t xml:space="preserve"> Comune </w:t>
      </w:r>
      <w:r w:rsidRPr="00A91596">
        <w:rPr>
          <w:rFonts w:ascii="Verdana" w:hAnsi="Verdana"/>
          <w:sz w:val="20"/>
          <w:szCs w:val="20"/>
        </w:rPr>
        <w:t>– Ente espressamente indicato nella norma la cui elencazione va considerata tassativa in quanto riproduce letteralmente quella dell’art. 114 Cost. di cui l’art. 7 comma 8 L.131/03 costituisce attuazione (C.</w:t>
      </w:r>
      <w:r w:rsidR="0045602E">
        <w:rPr>
          <w:rFonts w:ascii="Verdana" w:hAnsi="Verdana"/>
          <w:sz w:val="20"/>
          <w:szCs w:val="20"/>
        </w:rPr>
        <w:t xml:space="preserve"> </w:t>
      </w:r>
      <w:r w:rsidRPr="00A91596">
        <w:rPr>
          <w:rFonts w:ascii="Verdana" w:hAnsi="Verdana"/>
          <w:sz w:val="20"/>
          <w:szCs w:val="20"/>
        </w:rPr>
        <w:t>conti, Sez.Aut.del.13/07) –</w:t>
      </w:r>
      <w:r>
        <w:rPr>
          <w:rFonts w:ascii="Verdana" w:hAnsi="Verdana"/>
          <w:sz w:val="20"/>
          <w:szCs w:val="20"/>
        </w:rPr>
        <w:t xml:space="preserve"> </w:t>
      </w:r>
      <w:r w:rsidRPr="00042DDE">
        <w:rPr>
          <w:rFonts w:ascii="Verdana" w:hAnsi="Verdana"/>
          <w:sz w:val="20"/>
          <w:szCs w:val="20"/>
        </w:rPr>
        <w:t xml:space="preserve">ed è sottoscritta dal </w:t>
      </w:r>
      <w:r w:rsidR="007A3ED3">
        <w:rPr>
          <w:rFonts w:ascii="Verdana" w:hAnsi="Verdana"/>
          <w:sz w:val="20"/>
          <w:szCs w:val="20"/>
        </w:rPr>
        <w:t xml:space="preserve">Sindaco </w:t>
      </w:r>
      <w:r w:rsidRPr="00042DDE">
        <w:rPr>
          <w:rFonts w:ascii="Verdana" w:hAnsi="Verdana"/>
          <w:sz w:val="20"/>
          <w:szCs w:val="20"/>
        </w:rPr>
        <w:t>e, dunque, dal soggetto titolare della rappresentanza istituzionale dell’ente.</w:t>
      </w:r>
    </w:p>
    <w:p w:rsidR="00EA3119" w:rsidRDefault="00EA3119" w:rsidP="00EA3119">
      <w:pPr>
        <w:spacing w:after="0" w:line="360" w:lineRule="auto"/>
        <w:ind w:firstLine="708"/>
        <w:jc w:val="both"/>
        <w:rPr>
          <w:rFonts w:ascii="Verdana" w:hAnsi="Verdana"/>
          <w:sz w:val="20"/>
          <w:szCs w:val="20"/>
        </w:rPr>
      </w:pPr>
      <w:r w:rsidRPr="00E27A5C">
        <w:rPr>
          <w:rFonts w:ascii="Verdana" w:hAnsi="Verdana"/>
          <w:sz w:val="20"/>
          <w:szCs w:val="20"/>
        </w:rPr>
        <w:t xml:space="preserve">Medesime conclusioni </w:t>
      </w:r>
      <w:r>
        <w:rPr>
          <w:rFonts w:ascii="Verdana" w:hAnsi="Verdana"/>
          <w:sz w:val="20"/>
          <w:szCs w:val="20"/>
        </w:rPr>
        <w:t xml:space="preserve">possono </w:t>
      </w:r>
      <w:r w:rsidRPr="00E27A5C">
        <w:rPr>
          <w:rFonts w:ascii="Verdana" w:hAnsi="Verdana"/>
          <w:sz w:val="20"/>
          <w:szCs w:val="20"/>
        </w:rPr>
        <w:t>trarsi con riguardo al profilo della ammissibilità oggettiva della richiesta di parere</w:t>
      </w:r>
      <w:r>
        <w:rPr>
          <w:rFonts w:ascii="Verdana" w:hAnsi="Verdana"/>
          <w:sz w:val="20"/>
          <w:szCs w:val="20"/>
        </w:rPr>
        <w:t xml:space="preserve">. </w:t>
      </w:r>
    </w:p>
    <w:p w:rsidR="00EA3119" w:rsidRDefault="00EA3119" w:rsidP="00EA3119">
      <w:pPr>
        <w:spacing w:after="0" w:line="360" w:lineRule="auto"/>
        <w:ind w:firstLine="708"/>
        <w:jc w:val="both"/>
        <w:rPr>
          <w:rFonts w:ascii="Verdana" w:hAnsi="Verdana"/>
          <w:sz w:val="20"/>
          <w:szCs w:val="20"/>
        </w:rPr>
      </w:pPr>
      <w:r>
        <w:rPr>
          <w:rFonts w:ascii="Verdana" w:hAnsi="Verdana"/>
          <w:sz w:val="20"/>
          <w:szCs w:val="20"/>
        </w:rPr>
        <w:t>L’istanza</w:t>
      </w:r>
      <w:r w:rsidR="0016261E">
        <w:rPr>
          <w:rFonts w:ascii="Verdana" w:hAnsi="Verdana"/>
          <w:sz w:val="20"/>
          <w:szCs w:val="20"/>
        </w:rPr>
        <w:t>,</w:t>
      </w:r>
      <w:r>
        <w:rPr>
          <w:rFonts w:ascii="Verdana" w:hAnsi="Verdana"/>
          <w:sz w:val="20"/>
          <w:szCs w:val="20"/>
        </w:rPr>
        <w:t xml:space="preserve"> formulata</w:t>
      </w:r>
      <w:r w:rsidR="0016261E">
        <w:rPr>
          <w:rFonts w:ascii="Verdana" w:hAnsi="Verdana"/>
          <w:sz w:val="20"/>
          <w:szCs w:val="20"/>
        </w:rPr>
        <w:t xml:space="preserve"> in termini generali ed astratti, siccome</w:t>
      </w:r>
      <w:r w:rsidR="005C5957">
        <w:rPr>
          <w:rFonts w:ascii="Verdana" w:hAnsi="Verdana"/>
          <w:sz w:val="20"/>
          <w:szCs w:val="20"/>
        </w:rPr>
        <w:t xml:space="preserve"> afferente alle corrette modalità di utilizzo delle risorse che il legislatore ha ritenuto di attribuire in via esclusiva all’Ente locale al fine di incrementarne le entrate,  è, invero, riconducibile alla materia della contabilità pubblica, </w:t>
      </w:r>
      <w:r w:rsidRPr="000575F6">
        <w:rPr>
          <w:rFonts w:ascii="Verdana" w:hAnsi="Verdana"/>
          <w:sz w:val="20"/>
          <w:szCs w:val="20"/>
        </w:rPr>
        <w:t>così come interpretata dalla giurisprudenza della Corte dei conti (cfr. d</w:t>
      </w:r>
      <w:r>
        <w:rPr>
          <w:rFonts w:ascii="Verdana" w:hAnsi="Verdana"/>
          <w:sz w:val="20"/>
          <w:szCs w:val="20"/>
        </w:rPr>
        <w:t>eliberazione 5/AUT/2006 e nonché</w:t>
      </w:r>
      <w:r w:rsidRPr="000575F6">
        <w:rPr>
          <w:rFonts w:ascii="Verdana" w:hAnsi="Verdana"/>
          <w:sz w:val="20"/>
          <w:szCs w:val="20"/>
        </w:rPr>
        <w:t>, da ultimo, per quanto di interesse Deliberazione SS.RR. 54/2010)</w:t>
      </w:r>
      <w:r>
        <w:rPr>
          <w:rFonts w:ascii="Verdana" w:hAnsi="Verdana"/>
          <w:sz w:val="20"/>
          <w:szCs w:val="20"/>
        </w:rPr>
        <w:t>.</w:t>
      </w:r>
    </w:p>
    <w:p w:rsidR="00EA3119" w:rsidRPr="00EA7211" w:rsidRDefault="00EA7211" w:rsidP="00D90383">
      <w:pPr>
        <w:pStyle w:val="Paragrafoelenco"/>
        <w:numPr>
          <w:ilvl w:val="0"/>
          <w:numId w:val="12"/>
        </w:numPr>
        <w:spacing w:after="0" w:line="360" w:lineRule="auto"/>
        <w:jc w:val="both"/>
        <w:rPr>
          <w:rFonts w:ascii="Verdana" w:hAnsi="Verdana"/>
          <w:b/>
          <w:smallCaps/>
          <w:sz w:val="20"/>
          <w:szCs w:val="20"/>
        </w:rPr>
      </w:pPr>
      <w:r w:rsidRPr="00EA7211">
        <w:rPr>
          <w:rFonts w:ascii="Verdana" w:hAnsi="Verdana"/>
          <w:b/>
          <w:smallCaps/>
          <w:sz w:val="20"/>
          <w:szCs w:val="20"/>
        </w:rPr>
        <w:t>n</w:t>
      </w:r>
      <w:r w:rsidR="00D90383" w:rsidRPr="00EA7211">
        <w:rPr>
          <w:rFonts w:ascii="Verdana" w:hAnsi="Verdana"/>
          <w:b/>
          <w:smallCaps/>
          <w:sz w:val="20"/>
          <w:szCs w:val="20"/>
        </w:rPr>
        <w:t>el merito</w:t>
      </w:r>
    </w:p>
    <w:p w:rsidR="004E2E75" w:rsidRDefault="002E0D53" w:rsidP="00AE14CA">
      <w:pPr>
        <w:spacing w:after="0" w:line="360" w:lineRule="auto"/>
        <w:ind w:firstLine="360"/>
        <w:jc w:val="both"/>
        <w:rPr>
          <w:rFonts w:ascii="Verdana" w:hAnsi="Verdana"/>
          <w:sz w:val="20"/>
          <w:szCs w:val="20"/>
        </w:rPr>
      </w:pPr>
      <w:r>
        <w:rPr>
          <w:rFonts w:ascii="Verdana" w:hAnsi="Verdana"/>
          <w:sz w:val="20"/>
          <w:szCs w:val="20"/>
        </w:rPr>
        <w:t>L</w:t>
      </w:r>
      <w:r w:rsidR="005C5957">
        <w:rPr>
          <w:rFonts w:ascii="Verdana" w:hAnsi="Verdana"/>
          <w:sz w:val="20"/>
          <w:szCs w:val="20"/>
        </w:rPr>
        <w:t>a questione prospettata dall’Ente istante è totalmente sovrapponibile a quella oggetto della deliberazione recentemente resa ai sensi dell’art. 6, comma 4, del d.l. 174/2012 – e, dunque, con conseguente obbligo conformativo a carico delle Sezioni regionali di controllo - dalla Sezione delle</w:t>
      </w:r>
      <w:r w:rsidR="004E2E75">
        <w:rPr>
          <w:rFonts w:ascii="Verdana" w:hAnsi="Verdana"/>
          <w:sz w:val="20"/>
          <w:szCs w:val="20"/>
        </w:rPr>
        <w:t xml:space="preserve"> Autonomie della Corte dei conti</w:t>
      </w:r>
      <w:r w:rsidR="00C551DB">
        <w:rPr>
          <w:rFonts w:ascii="Verdana" w:hAnsi="Verdana"/>
          <w:sz w:val="20"/>
          <w:szCs w:val="20"/>
        </w:rPr>
        <w:t xml:space="preserve"> (</w:t>
      </w:r>
      <w:r w:rsidR="00C551DB" w:rsidRPr="00C551DB">
        <w:rPr>
          <w:rFonts w:ascii="Verdana" w:hAnsi="Verdana"/>
          <w:i/>
          <w:sz w:val="20"/>
          <w:szCs w:val="20"/>
        </w:rPr>
        <w:t>cfr</w:t>
      </w:r>
      <w:r w:rsidR="00C551DB">
        <w:rPr>
          <w:rFonts w:ascii="Verdana" w:hAnsi="Verdana"/>
          <w:sz w:val="20"/>
          <w:szCs w:val="20"/>
        </w:rPr>
        <w:t>. deliberazione n. 21/SEZAUT/2015/QMIG)</w:t>
      </w:r>
      <w:r w:rsidR="004E2E75">
        <w:rPr>
          <w:rFonts w:ascii="Verdana" w:hAnsi="Verdana"/>
          <w:sz w:val="20"/>
          <w:szCs w:val="20"/>
        </w:rPr>
        <w:t>.</w:t>
      </w:r>
    </w:p>
    <w:p w:rsidR="0003254E" w:rsidRDefault="0003254E" w:rsidP="0003254E">
      <w:pPr>
        <w:spacing w:after="0" w:line="360" w:lineRule="auto"/>
        <w:jc w:val="both"/>
        <w:rPr>
          <w:rFonts w:ascii="Verdana" w:hAnsi="Verdana"/>
          <w:sz w:val="20"/>
          <w:szCs w:val="20"/>
        </w:rPr>
      </w:pPr>
      <w:r>
        <w:rPr>
          <w:rFonts w:ascii="Verdana" w:hAnsi="Verdana"/>
          <w:sz w:val="20"/>
          <w:szCs w:val="20"/>
        </w:rPr>
        <w:t xml:space="preserve">   </w:t>
      </w:r>
      <w:r w:rsidR="004E2E75">
        <w:rPr>
          <w:rFonts w:ascii="Verdana" w:hAnsi="Verdana"/>
          <w:sz w:val="20"/>
          <w:szCs w:val="20"/>
        </w:rPr>
        <w:t xml:space="preserve">Chiamata, in particolare, a pronunciarsi in relazione alla misura del </w:t>
      </w:r>
      <w:r w:rsidR="004E2E75" w:rsidRPr="004E2E75">
        <w:rPr>
          <w:rFonts w:ascii="Verdana" w:hAnsi="Verdana"/>
          <w:i/>
          <w:sz w:val="20"/>
          <w:szCs w:val="20"/>
        </w:rPr>
        <w:t>quantum</w:t>
      </w:r>
      <w:r w:rsidR="004E2E75">
        <w:rPr>
          <w:rFonts w:ascii="Verdana" w:hAnsi="Verdana"/>
          <w:sz w:val="20"/>
          <w:szCs w:val="20"/>
        </w:rPr>
        <w:t xml:space="preserve"> erogabile in favore del segretario</w:t>
      </w:r>
      <w:r w:rsidR="00C551DB">
        <w:rPr>
          <w:rFonts w:ascii="Verdana" w:hAnsi="Verdana"/>
          <w:sz w:val="20"/>
          <w:szCs w:val="20"/>
        </w:rPr>
        <w:t>,</w:t>
      </w:r>
      <w:r w:rsidR="004E2E75">
        <w:rPr>
          <w:rFonts w:ascii="Verdana" w:hAnsi="Verdana"/>
          <w:sz w:val="20"/>
          <w:szCs w:val="20"/>
        </w:rPr>
        <w:t xml:space="preserve"> a titolo di diritti di rogito</w:t>
      </w:r>
      <w:r w:rsidR="00C551DB">
        <w:rPr>
          <w:rFonts w:ascii="Verdana" w:hAnsi="Verdana"/>
          <w:sz w:val="20"/>
          <w:szCs w:val="20"/>
        </w:rPr>
        <w:t>,</w:t>
      </w:r>
      <w:r w:rsidR="004E2E75">
        <w:rPr>
          <w:rFonts w:ascii="Verdana" w:hAnsi="Verdana"/>
          <w:sz w:val="20"/>
          <w:szCs w:val="20"/>
        </w:rPr>
        <w:t xml:space="preserve"> nel caso in cui</w:t>
      </w:r>
      <w:r w:rsidR="005C5957">
        <w:rPr>
          <w:rFonts w:ascii="Verdana" w:hAnsi="Verdana"/>
          <w:sz w:val="20"/>
          <w:szCs w:val="20"/>
        </w:rPr>
        <w:t xml:space="preserve"> </w:t>
      </w:r>
      <w:r w:rsidR="004E2E75">
        <w:rPr>
          <w:rFonts w:ascii="Verdana" w:hAnsi="Verdana"/>
          <w:sz w:val="20"/>
          <w:szCs w:val="20"/>
        </w:rPr>
        <w:t>gli importi riscossi dal comune, nel corso dell’esercizio, non eccedano i limiti della quota del quinto della retribuzione evocati dalla novella normativa recata dal d.l. 90/2014, la predetta Sezione</w:t>
      </w:r>
      <w:r w:rsidR="00A87477">
        <w:rPr>
          <w:rFonts w:ascii="Verdana" w:hAnsi="Verdana"/>
          <w:sz w:val="20"/>
          <w:szCs w:val="20"/>
        </w:rPr>
        <w:t xml:space="preserve">, ha ritenuto di estendere il </w:t>
      </w:r>
      <w:r w:rsidR="00A87477" w:rsidRPr="0026398C">
        <w:rPr>
          <w:rFonts w:ascii="Verdana" w:hAnsi="Verdana"/>
          <w:i/>
          <w:sz w:val="20"/>
          <w:szCs w:val="20"/>
        </w:rPr>
        <w:t>thema decidendum</w:t>
      </w:r>
      <w:r>
        <w:rPr>
          <w:rFonts w:ascii="Verdana" w:hAnsi="Verdana"/>
          <w:i/>
          <w:sz w:val="20"/>
          <w:szCs w:val="20"/>
        </w:rPr>
        <w:t xml:space="preserve"> </w:t>
      </w:r>
      <w:r w:rsidR="00A87477">
        <w:rPr>
          <w:rFonts w:ascii="Verdana" w:hAnsi="Verdana"/>
          <w:sz w:val="20"/>
          <w:szCs w:val="20"/>
        </w:rPr>
        <w:t xml:space="preserve">anche </w:t>
      </w:r>
      <w:r>
        <w:rPr>
          <w:rFonts w:ascii="Verdana" w:hAnsi="Verdana"/>
          <w:sz w:val="20"/>
          <w:szCs w:val="20"/>
        </w:rPr>
        <w:t>ai profili soggettivi della disciplina in esame rilevandosi l’opportunità di ricomporre il contrasto interpretativo insorto, sul punto, alla stregua delle diverse ricostruzioni operate dalle Sezioni regionali di controllo.</w:t>
      </w:r>
    </w:p>
    <w:p w:rsidR="00DF3812" w:rsidRDefault="0003254E" w:rsidP="0003254E">
      <w:pPr>
        <w:spacing w:after="0" w:line="360" w:lineRule="auto"/>
        <w:ind w:firstLine="360"/>
        <w:jc w:val="both"/>
        <w:rPr>
          <w:rFonts w:ascii="Verdana" w:hAnsi="Verdana"/>
          <w:sz w:val="20"/>
          <w:szCs w:val="20"/>
        </w:rPr>
      </w:pPr>
      <w:r>
        <w:rPr>
          <w:rFonts w:ascii="Verdana" w:hAnsi="Verdana"/>
          <w:sz w:val="20"/>
          <w:szCs w:val="20"/>
        </w:rPr>
        <w:t>Così, facendo propria la più rigorosa lettura dell’art. 10, comma 2 bis, del d.l. 90/2014 propugnata dalla Sezione regionale di controllo per il Lazio (cfr. deliberazione n. 21/2015/PAR</w:t>
      </w:r>
      <w:r w:rsidR="00DF3812">
        <w:rPr>
          <w:rFonts w:ascii="Verdana" w:hAnsi="Verdana"/>
          <w:sz w:val="20"/>
          <w:szCs w:val="20"/>
        </w:rPr>
        <w:t>), a superamento della tesi sostenuta in fase di prima applicazione dalla Sezione regionale di controllo per la Lombardia (</w:t>
      </w:r>
      <w:r w:rsidR="00DF3812" w:rsidRPr="00C551DB">
        <w:rPr>
          <w:rFonts w:ascii="Verdana" w:hAnsi="Verdana"/>
          <w:i/>
          <w:sz w:val="20"/>
          <w:szCs w:val="20"/>
        </w:rPr>
        <w:t>cfr</w:t>
      </w:r>
      <w:r w:rsidR="00DF3812">
        <w:rPr>
          <w:rFonts w:ascii="Verdana" w:hAnsi="Verdana"/>
          <w:sz w:val="20"/>
          <w:szCs w:val="20"/>
        </w:rPr>
        <w:t xml:space="preserve">. deliberazioni nn. 275-297/2014/PAR) e dalla Sezione regionale di controllo per la Regione Siciliana, la Sezione delle Autonomie ha formulato i seguenti principi di diritto: </w:t>
      </w:r>
    </w:p>
    <w:p w:rsidR="00DF3812" w:rsidRDefault="00DF3812" w:rsidP="00DF3812">
      <w:pPr>
        <w:shd w:val="clear" w:color="auto" w:fill="FFFFFF"/>
        <w:spacing w:after="120" w:line="360" w:lineRule="auto"/>
        <w:ind w:firstLine="709"/>
        <w:jc w:val="both"/>
        <w:rPr>
          <w:rFonts w:ascii="Verdana" w:eastAsia="Times New Roman" w:hAnsi="Verdana" w:cs="Times New Roman"/>
          <w:sz w:val="20"/>
          <w:szCs w:val="20"/>
          <w:lang w:eastAsia="it-IT"/>
        </w:rPr>
      </w:pPr>
      <w:r w:rsidRPr="00DF3812">
        <w:rPr>
          <w:rFonts w:ascii="Verdana" w:eastAsia="Times New Roman" w:hAnsi="Verdana" w:cs="Times New Roman"/>
          <w:sz w:val="20"/>
          <w:szCs w:val="20"/>
          <w:lang w:eastAsia="it-IT"/>
        </w:rPr>
        <w:t>“ Alla luce della previsione di cui all’art. 10 comma 2 bis del d.l. 24 giugno 2014, n. 90, convertito con modificazioni dalla legge 11 agosto 2014, n. 114 i diritti di rogito competono ai soli segretari di fascia C.</w:t>
      </w:r>
      <w:r>
        <w:rPr>
          <w:rFonts w:ascii="Verdana" w:eastAsia="Times New Roman" w:hAnsi="Verdana" w:cs="Times New Roman"/>
          <w:sz w:val="20"/>
          <w:szCs w:val="20"/>
          <w:lang w:eastAsia="it-IT"/>
        </w:rPr>
        <w:t xml:space="preserve"> </w:t>
      </w:r>
    </w:p>
    <w:p w:rsidR="00DF3812" w:rsidRDefault="00DF3812" w:rsidP="00DF3812">
      <w:pPr>
        <w:shd w:val="clear" w:color="auto" w:fill="FFFFFF"/>
        <w:spacing w:after="120" w:line="360" w:lineRule="auto"/>
        <w:ind w:firstLine="709"/>
        <w:jc w:val="both"/>
        <w:rPr>
          <w:rFonts w:ascii="Verdana" w:eastAsia="Times New Roman" w:hAnsi="Verdana" w:cs="Times New Roman"/>
          <w:sz w:val="20"/>
          <w:szCs w:val="20"/>
          <w:lang w:eastAsia="it-IT"/>
        </w:rPr>
      </w:pPr>
      <w:r w:rsidRPr="00DF3812">
        <w:rPr>
          <w:rFonts w:ascii="Verdana" w:eastAsia="Times New Roman" w:hAnsi="Verdana" w:cs="Times New Roman"/>
          <w:sz w:val="20"/>
          <w:szCs w:val="20"/>
          <w:lang w:eastAsia="it-IT"/>
        </w:rPr>
        <w:t xml:space="preserve">In difetto di specifica regolamentazione nell’ambito del CCNL di categoria successivo alla novella normativa i predetti proventi sono attribuiti integralmente ai segretari comunali, </w:t>
      </w:r>
      <w:r w:rsidRPr="00DF3812">
        <w:rPr>
          <w:rFonts w:ascii="Verdana" w:eastAsia="Times New Roman" w:hAnsi="Verdana" w:cs="Times New Roman"/>
          <w:sz w:val="20"/>
          <w:szCs w:val="20"/>
          <w:lang w:eastAsia="it-IT"/>
        </w:rPr>
        <w:lastRenderedPageBreak/>
        <w:t>laddove gli importi riscossi dal comune, nel corso dell’esercizio, non eccedano i limiti della quota del quinto della retribuzione in godimento del segretario.</w:t>
      </w:r>
      <w:r>
        <w:rPr>
          <w:rFonts w:ascii="Verdana" w:eastAsia="Times New Roman" w:hAnsi="Verdana" w:cs="Times New Roman"/>
          <w:sz w:val="20"/>
          <w:szCs w:val="20"/>
          <w:lang w:eastAsia="it-IT"/>
        </w:rPr>
        <w:t xml:space="preserve"> </w:t>
      </w:r>
    </w:p>
    <w:p w:rsidR="00DF3812" w:rsidRDefault="00DF3812" w:rsidP="00DF3812">
      <w:pPr>
        <w:shd w:val="clear" w:color="auto" w:fill="FFFFFF"/>
        <w:spacing w:after="120" w:line="360" w:lineRule="auto"/>
        <w:ind w:firstLine="709"/>
        <w:jc w:val="both"/>
        <w:rPr>
          <w:rFonts w:ascii="Verdana" w:hAnsi="Verdana" w:cs="Times New Roman"/>
          <w:i/>
          <w:spacing w:val="2"/>
          <w:sz w:val="20"/>
          <w:szCs w:val="20"/>
        </w:rPr>
      </w:pPr>
      <w:r w:rsidRPr="00DF3812">
        <w:rPr>
          <w:rFonts w:ascii="Verdana" w:hAnsi="Verdana" w:cs="Times New Roman"/>
          <w:sz w:val="20"/>
          <w:szCs w:val="20"/>
        </w:rPr>
        <w:t>Le somme destinate al pagamento dell’emolumento in parola devono intendersi al lordo di tutti gli oneri accessori connessi all’erogazione, ivi compresi quelli a carico degli enti</w:t>
      </w:r>
      <w:r w:rsidRPr="00DF3812">
        <w:rPr>
          <w:rFonts w:ascii="Verdana" w:hAnsi="Verdana" w:cs="Times New Roman"/>
          <w:i/>
          <w:sz w:val="20"/>
          <w:szCs w:val="20"/>
        </w:rPr>
        <w:t>”</w:t>
      </w:r>
      <w:r w:rsidRPr="00DF3812">
        <w:rPr>
          <w:rFonts w:ascii="Verdana" w:hAnsi="Verdana" w:cs="Times New Roman"/>
          <w:i/>
          <w:spacing w:val="2"/>
          <w:sz w:val="20"/>
          <w:szCs w:val="20"/>
        </w:rPr>
        <w:t>.</w:t>
      </w:r>
    </w:p>
    <w:p w:rsidR="00AD29A3" w:rsidRDefault="00AD29A3" w:rsidP="00F72027">
      <w:pPr>
        <w:spacing w:after="0" w:line="360" w:lineRule="auto"/>
        <w:jc w:val="center"/>
        <w:rPr>
          <w:rFonts w:ascii="Verdana" w:hAnsi="Verdana"/>
          <w:b/>
          <w:sz w:val="20"/>
          <w:szCs w:val="20"/>
        </w:rPr>
      </w:pPr>
      <w:r w:rsidRPr="008C0821">
        <w:rPr>
          <w:rFonts w:ascii="Verdana" w:hAnsi="Verdana"/>
          <w:b/>
          <w:sz w:val="20"/>
          <w:szCs w:val="20"/>
        </w:rPr>
        <w:t>P.Q.M.</w:t>
      </w:r>
    </w:p>
    <w:p w:rsidR="00271889" w:rsidRDefault="00271889" w:rsidP="00271889">
      <w:pPr>
        <w:widowControl w:val="0"/>
        <w:overflowPunct w:val="0"/>
        <w:autoSpaceDE w:val="0"/>
        <w:autoSpaceDN w:val="0"/>
        <w:adjustRightInd w:val="0"/>
        <w:spacing w:after="0" w:line="360" w:lineRule="auto"/>
        <w:ind w:firstLine="708"/>
        <w:jc w:val="both"/>
        <w:textAlignment w:val="baseline"/>
        <w:outlineLvl w:val="0"/>
        <w:rPr>
          <w:rFonts w:ascii="Verdana" w:eastAsia="Times New Roman" w:hAnsi="Verdana" w:cs="Times New Roman"/>
          <w:color w:val="000000"/>
          <w:sz w:val="20"/>
          <w:szCs w:val="20"/>
          <w:lang w:eastAsia="it-IT"/>
        </w:rPr>
      </w:pPr>
      <w:r w:rsidRPr="00271889">
        <w:rPr>
          <w:rFonts w:ascii="Verdana" w:eastAsia="Times New Roman" w:hAnsi="Verdana" w:cs="Times New Roman"/>
          <w:color w:val="000000"/>
          <w:sz w:val="20"/>
          <w:szCs w:val="20"/>
          <w:lang w:eastAsia="it-IT"/>
        </w:rPr>
        <w:t>Nelle esposte considerazioni è il parere della Sezione.</w:t>
      </w:r>
    </w:p>
    <w:p w:rsidR="00271889" w:rsidRPr="00271889" w:rsidRDefault="00271889" w:rsidP="004D283B">
      <w:pPr>
        <w:widowControl w:val="0"/>
        <w:spacing w:after="0" w:line="360" w:lineRule="auto"/>
        <w:jc w:val="center"/>
        <w:rPr>
          <w:rFonts w:ascii="Verdana" w:eastAsia="Times New Roman" w:hAnsi="Verdana" w:cs="Times New Roman"/>
          <w:b/>
          <w:sz w:val="20"/>
          <w:szCs w:val="24"/>
          <w:lang w:eastAsia="it-IT"/>
        </w:rPr>
      </w:pPr>
      <w:r w:rsidRPr="00271889">
        <w:rPr>
          <w:rFonts w:ascii="Verdana" w:eastAsia="Times New Roman" w:hAnsi="Verdana" w:cs="Times New Roman"/>
          <w:b/>
          <w:sz w:val="20"/>
          <w:szCs w:val="24"/>
          <w:lang w:eastAsia="it-IT"/>
        </w:rPr>
        <w:t>ORDINA</w:t>
      </w:r>
    </w:p>
    <w:p w:rsidR="00271889" w:rsidRPr="00271889" w:rsidRDefault="00271889" w:rsidP="00271889">
      <w:pPr>
        <w:widowControl w:val="0"/>
        <w:spacing w:after="0" w:line="360" w:lineRule="auto"/>
        <w:jc w:val="both"/>
        <w:rPr>
          <w:rFonts w:ascii="Verdana" w:eastAsia="Times New Roman" w:hAnsi="Verdana" w:cs="Times New Roman"/>
          <w:sz w:val="20"/>
          <w:szCs w:val="24"/>
          <w:lang w:eastAsia="it-IT"/>
        </w:rPr>
      </w:pPr>
      <w:r w:rsidRPr="00271889">
        <w:rPr>
          <w:rFonts w:ascii="Verdana" w:eastAsia="Times New Roman" w:hAnsi="Verdana" w:cs="Times New Roman"/>
          <w:sz w:val="20"/>
          <w:szCs w:val="24"/>
          <w:lang w:eastAsia="it-IT"/>
        </w:rPr>
        <w:t xml:space="preserve">Alla segreteria di trasmettere la presente deliberazione al </w:t>
      </w:r>
      <w:r w:rsidR="00F72027">
        <w:rPr>
          <w:rFonts w:ascii="Verdana" w:eastAsia="Times New Roman" w:hAnsi="Verdana" w:cs="Times New Roman"/>
          <w:sz w:val="20"/>
          <w:szCs w:val="24"/>
          <w:lang w:eastAsia="it-IT"/>
        </w:rPr>
        <w:t xml:space="preserve">Sindaco del Comune di </w:t>
      </w:r>
      <w:r w:rsidR="00DF3812">
        <w:rPr>
          <w:rFonts w:ascii="Verdana" w:eastAsia="Times New Roman" w:hAnsi="Verdana" w:cs="Times New Roman"/>
          <w:sz w:val="20"/>
          <w:szCs w:val="24"/>
          <w:lang w:eastAsia="it-IT"/>
        </w:rPr>
        <w:t>Trecastelli</w:t>
      </w:r>
      <w:r w:rsidR="00F72027">
        <w:rPr>
          <w:rFonts w:ascii="Verdana" w:eastAsia="Times New Roman" w:hAnsi="Verdana" w:cs="Times New Roman"/>
          <w:sz w:val="20"/>
          <w:szCs w:val="24"/>
          <w:lang w:eastAsia="it-IT"/>
        </w:rPr>
        <w:t xml:space="preserve"> </w:t>
      </w:r>
      <w:r w:rsidRPr="00271889">
        <w:rPr>
          <w:rFonts w:ascii="Verdana" w:eastAsia="Times New Roman" w:hAnsi="Verdana" w:cs="Times New Roman"/>
          <w:sz w:val="20"/>
          <w:szCs w:val="24"/>
          <w:lang w:eastAsia="it-IT"/>
        </w:rPr>
        <w:t>e al Presidente del Consiglio delle Autonomie locali delle Marche.</w:t>
      </w:r>
    </w:p>
    <w:p w:rsidR="00271889" w:rsidRDefault="00271889" w:rsidP="00271889">
      <w:pPr>
        <w:widowControl w:val="0"/>
        <w:spacing w:after="0" w:line="360" w:lineRule="auto"/>
        <w:jc w:val="both"/>
        <w:rPr>
          <w:rFonts w:ascii="Verdana" w:eastAsia="Times New Roman" w:hAnsi="Verdana" w:cs="Times New Roman"/>
          <w:sz w:val="20"/>
          <w:szCs w:val="24"/>
          <w:lang w:eastAsia="it-IT"/>
        </w:rPr>
      </w:pPr>
      <w:r w:rsidRPr="00271889">
        <w:rPr>
          <w:rFonts w:ascii="Verdana" w:eastAsia="Times New Roman" w:hAnsi="Verdana" w:cs="Times New Roman"/>
          <w:sz w:val="20"/>
          <w:szCs w:val="24"/>
          <w:lang w:eastAsia="it-IT"/>
        </w:rPr>
        <w:t>Così deliberato in Ancona, nell</w:t>
      </w:r>
      <w:r>
        <w:rPr>
          <w:rFonts w:ascii="Verdana" w:eastAsia="Times New Roman" w:hAnsi="Verdana" w:cs="Times New Roman"/>
          <w:sz w:val="20"/>
          <w:szCs w:val="24"/>
          <w:lang w:eastAsia="it-IT"/>
        </w:rPr>
        <w:t xml:space="preserve">a camera di consiglio </w:t>
      </w:r>
      <w:r w:rsidRPr="00271889">
        <w:rPr>
          <w:rFonts w:ascii="Verdana" w:eastAsia="Times New Roman" w:hAnsi="Verdana" w:cs="Times New Roman"/>
          <w:sz w:val="20"/>
          <w:szCs w:val="24"/>
          <w:lang w:eastAsia="it-IT"/>
        </w:rPr>
        <w:t>del</w:t>
      </w:r>
      <w:r w:rsidR="00483844">
        <w:rPr>
          <w:rFonts w:ascii="Verdana" w:eastAsia="Times New Roman" w:hAnsi="Verdana" w:cs="Times New Roman"/>
          <w:sz w:val="20"/>
          <w:szCs w:val="24"/>
          <w:lang w:eastAsia="it-IT"/>
        </w:rPr>
        <w:t xml:space="preserve"> </w:t>
      </w:r>
      <w:r w:rsidR="00DF3812">
        <w:rPr>
          <w:rFonts w:ascii="Verdana" w:eastAsia="Times New Roman" w:hAnsi="Verdana" w:cs="Times New Roman"/>
          <w:sz w:val="20"/>
          <w:szCs w:val="24"/>
          <w:lang w:eastAsia="it-IT"/>
        </w:rPr>
        <w:t>22 luglio</w:t>
      </w:r>
      <w:r w:rsidR="00F72027">
        <w:rPr>
          <w:rFonts w:ascii="Verdana" w:eastAsia="Times New Roman" w:hAnsi="Verdana" w:cs="Times New Roman"/>
          <w:sz w:val="20"/>
          <w:szCs w:val="24"/>
          <w:lang w:eastAsia="it-IT"/>
        </w:rPr>
        <w:t xml:space="preserve"> </w:t>
      </w:r>
      <w:r>
        <w:rPr>
          <w:rFonts w:ascii="Verdana" w:eastAsia="Times New Roman" w:hAnsi="Verdana" w:cs="Times New Roman"/>
          <w:sz w:val="20"/>
          <w:szCs w:val="24"/>
          <w:lang w:eastAsia="it-IT"/>
        </w:rPr>
        <w:t xml:space="preserve">2015 </w:t>
      </w:r>
    </w:p>
    <w:p w:rsidR="004D283B" w:rsidRPr="00271889" w:rsidRDefault="004D283B" w:rsidP="00271889">
      <w:pPr>
        <w:widowControl w:val="0"/>
        <w:spacing w:after="0" w:line="360" w:lineRule="auto"/>
        <w:jc w:val="both"/>
        <w:rPr>
          <w:rFonts w:ascii="Verdana" w:eastAsia="Times New Roman" w:hAnsi="Verdana" w:cs="Times New Roman"/>
          <w:sz w:val="20"/>
          <w:szCs w:val="24"/>
          <w:lang w:eastAsia="it-IT"/>
        </w:rPr>
      </w:pPr>
    </w:p>
    <w:p w:rsidR="00271889" w:rsidRPr="00271889" w:rsidRDefault="00271889" w:rsidP="00271889">
      <w:pPr>
        <w:widowControl w:val="0"/>
        <w:spacing w:after="0" w:line="360" w:lineRule="auto"/>
        <w:jc w:val="both"/>
        <w:rPr>
          <w:rFonts w:ascii="Verdana" w:eastAsia="Times New Roman" w:hAnsi="Verdana" w:cs="Times New Roman"/>
          <w:sz w:val="20"/>
          <w:szCs w:val="24"/>
          <w:lang w:eastAsia="it-IT"/>
        </w:rPr>
      </w:pPr>
      <w:r w:rsidRPr="00271889">
        <w:rPr>
          <w:rFonts w:ascii="Verdana" w:eastAsia="Times New Roman" w:hAnsi="Verdana" w:cs="Times New Roman"/>
          <w:sz w:val="20"/>
          <w:szCs w:val="24"/>
          <w:lang w:eastAsia="it-IT"/>
        </w:rPr>
        <w:t xml:space="preserve">           Il relatore</w:t>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t xml:space="preserve">Il Presidente </w:t>
      </w:r>
    </w:p>
    <w:p w:rsidR="00271889" w:rsidRPr="00271889" w:rsidRDefault="00271889" w:rsidP="00271889">
      <w:pPr>
        <w:widowControl w:val="0"/>
        <w:spacing w:after="0" w:line="360" w:lineRule="auto"/>
        <w:jc w:val="both"/>
        <w:rPr>
          <w:rFonts w:ascii="Verdana" w:eastAsia="Times New Roman" w:hAnsi="Verdana" w:cs="Times New Roman"/>
          <w:sz w:val="20"/>
          <w:szCs w:val="24"/>
          <w:lang w:eastAsia="it-IT"/>
        </w:rPr>
      </w:pPr>
      <w:r w:rsidRPr="00271889">
        <w:rPr>
          <w:rFonts w:ascii="Verdana" w:eastAsia="Times New Roman" w:hAnsi="Verdana" w:cs="Times New Roman"/>
          <w:sz w:val="20"/>
          <w:szCs w:val="24"/>
          <w:lang w:eastAsia="it-IT"/>
        </w:rPr>
        <w:t xml:space="preserve">      </w:t>
      </w:r>
      <w:r w:rsidR="00F835CC">
        <w:rPr>
          <w:rFonts w:ascii="Verdana" w:eastAsia="Times New Roman" w:hAnsi="Verdana" w:cs="Times New Roman"/>
          <w:sz w:val="20"/>
          <w:szCs w:val="24"/>
          <w:lang w:eastAsia="it-IT"/>
        </w:rPr>
        <w:t>f.to</w:t>
      </w:r>
      <w:r w:rsidRPr="00271889">
        <w:rPr>
          <w:rFonts w:ascii="Verdana" w:eastAsia="Times New Roman" w:hAnsi="Verdana" w:cs="Times New Roman"/>
          <w:sz w:val="20"/>
          <w:szCs w:val="24"/>
          <w:lang w:eastAsia="it-IT"/>
        </w:rPr>
        <w:t xml:space="preserve"> </w:t>
      </w:r>
      <w:r>
        <w:rPr>
          <w:rFonts w:ascii="Verdana" w:eastAsia="Times New Roman" w:hAnsi="Verdana" w:cs="Times New Roman"/>
          <w:sz w:val="20"/>
          <w:szCs w:val="24"/>
          <w:lang w:eastAsia="it-IT"/>
        </w:rPr>
        <w:t xml:space="preserve"> </w:t>
      </w:r>
      <w:r w:rsidRPr="00271889">
        <w:rPr>
          <w:rFonts w:ascii="Verdana" w:eastAsia="Times New Roman" w:hAnsi="Verdana" w:cs="Times New Roman"/>
          <w:sz w:val="20"/>
          <w:szCs w:val="24"/>
          <w:lang w:eastAsia="it-IT"/>
        </w:rPr>
        <w:t xml:space="preserve">Valeria Franchi    </w:t>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r>
      <w:r w:rsidRPr="00271889">
        <w:rPr>
          <w:rFonts w:ascii="Verdana" w:eastAsia="Times New Roman" w:hAnsi="Verdana" w:cs="Times New Roman"/>
          <w:sz w:val="20"/>
          <w:szCs w:val="24"/>
          <w:lang w:eastAsia="it-IT"/>
        </w:rPr>
        <w:tab/>
        <w:t xml:space="preserve">      </w:t>
      </w:r>
      <w:r>
        <w:rPr>
          <w:rFonts w:ascii="Verdana" w:eastAsia="Times New Roman" w:hAnsi="Verdana" w:cs="Times New Roman"/>
          <w:sz w:val="20"/>
          <w:szCs w:val="24"/>
          <w:lang w:eastAsia="it-IT"/>
        </w:rPr>
        <w:t xml:space="preserve"> </w:t>
      </w:r>
      <w:r w:rsidR="00F835CC">
        <w:rPr>
          <w:rFonts w:ascii="Verdana" w:eastAsia="Times New Roman" w:hAnsi="Verdana" w:cs="Times New Roman"/>
          <w:sz w:val="20"/>
          <w:szCs w:val="24"/>
          <w:lang w:eastAsia="it-IT"/>
        </w:rPr>
        <w:t xml:space="preserve">f.to </w:t>
      </w:r>
      <w:bookmarkStart w:id="0" w:name="_GoBack"/>
      <w:bookmarkEnd w:id="0"/>
      <w:r>
        <w:rPr>
          <w:rFonts w:ascii="Verdana" w:eastAsia="Times New Roman" w:hAnsi="Verdana" w:cs="Times New Roman"/>
          <w:sz w:val="20"/>
          <w:szCs w:val="24"/>
          <w:lang w:eastAsia="it-IT"/>
        </w:rPr>
        <w:t xml:space="preserve"> Teresa Bica</w:t>
      </w:r>
    </w:p>
    <w:p w:rsidR="00271889" w:rsidRPr="00271889" w:rsidRDefault="00271889" w:rsidP="00271889">
      <w:pPr>
        <w:widowControl w:val="0"/>
        <w:spacing w:after="0" w:line="360" w:lineRule="auto"/>
        <w:jc w:val="center"/>
        <w:rPr>
          <w:rFonts w:ascii="Verdana" w:eastAsia="Times New Roman" w:hAnsi="Verdana" w:cs="Times New Roman"/>
          <w:sz w:val="20"/>
          <w:szCs w:val="24"/>
          <w:lang w:eastAsia="it-IT"/>
        </w:rPr>
      </w:pPr>
    </w:p>
    <w:p w:rsidR="00271889" w:rsidRPr="00271889" w:rsidRDefault="00271889" w:rsidP="00271889">
      <w:pPr>
        <w:widowControl w:val="0"/>
        <w:spacing w:after="0" w:line="240" w:lineRule="auto"/>
        <w:rPr>
          <w:rFonts w:ascii="Verdana" w:eastAsia="Times New Roman" w:hAnsi="Verdana" w:cs="Times New Roman"/>
          <w:sz w:val="20"/>
          <w:szCs w:val="24"/>
          <w:lang w:eastAsia="it-IT"/>
        </w:rPr>
      </w:pPr>
    </w:p>
    <w:p w:rsidR="00271889" w:rsidRPr="00271889" w:rsidRDefault="00271889" w:rsidP="00271889">
      <w:pPr>
        <w:widowControl w:val="0"/>
        <w:spacing w:after="0" w:line="240" w:lineRule="auto"/>
        <w:rPr>
          <w:rFonts w:ascii="Verdana" w:eastAsia="Times New Roman" w:hAnsi="Verdana" w:cs="Times New Roman"/>
          <w:sz w:val="20"/>
          <w:szCs w:val="24"/>
          <w:lang w:eastAsia="it-IT"/>
        </w:rPr>
      </w:pPr>
    </w:p>
    <w:p w:rsidR="00556F5E" w:rsidRDefault="00556F5E"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r>
        <w:rPr>
          <w:rFonts w:ascii="Verdana" w:eastAsia="Times New Roman" w:hAnsi="Verdana" w:cs="Verdana"/>
          <w:sz w:val="20"/>
          <w:szCs w:val="20"/>
          <w:lang w:eastAsia="it-IT"/>
        </w:rPr>
        <w:t>Depositata in Segreteria il</w:t>
      </w:r>
      <w:r w:rsidR="00F835CC">
        <w:rPr>
          <w:rFonts w:ascii="Verdana" w:eastAsia="Times New Roman" w:hAnsi="Verdana" w:cs="Verdana"/>
          <w:sz w:val="20"/>
          <w:szCs w:val="20"/>
          <w:lang w:eastAsia="it-IT"/>
        </w:rPr>
        <w:t xml:space="preserve"> 23 luglio 2015</w:t>
      </w: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r>
        <w:rPr>
          <w:rFonts w:ascii="Verdana" w:eastAsia="Times New Roman" w:hAnsi="Verdana" w:cs="Verdana"/>
          <w:sz w:val="20"/>
          <w:szCs w:val="20"/>
          <w:lang w:eastAsia="it-IT"/>
        </w:rPr>
        <w:t xml:space="preserve">Il direttore della Segreteria </w:t>
      </w:r>
      <w:r w:rsidR="00F835CC">
        <w:rPr>
          <w:rFonts w:ascii="Verdana" w:eastAsia="Times New Roman" w:hAnsi="Verdana" w:cs="Verdana"/>
          <w:sz w:val="20"/>
          <w:szCs w:val="20"/>
          <w:lang w:eastAsia="it-IT"/>
        </w:rPr>
        <w:t>f.to Carlo Serra</w:t>
      </w: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p>
    <w:p w:rsidR="00AD29A3" w:rsidRDefault="00AD29A3" w:rsidP="00063D96">
      <w:pPr>
        <w:tabs>
          <w:tab w:val="left" w:pos="7230"/>
        </w:tabs>
        <w:overflowPunct w:val="0"/>
        <w:autoSpaceDE w:val="0"/>
        <w:autoSpaceDN w:val="0"/>
        <w:adjustRightInd w:val="0"/>
        <w:spacing w:after="0" w:line="360" w:lineRule="auto"/>
        <w:jc w:val="both"/>
        <w:textAlignment w:val="baseline"/>
        <w:rPr>
          <w:rFonts w:ascii="Verdana" w:eastAsia="Times New Roman" w:hAnsi="Verdana" w:cs="Verdana"/>
          <w:sz w:val="20"/>
          <w:szCs w:val="20"/>
          <w:lang w:eastAsia="it-IT"/>
        </w:rPr>
      </w:pPr>
    </w:p>
    <w:sectPr w:rsidR="00AD29A3" w:rsidSect="002600D0">
      <w:headerReference w:type="even" r:id="rId9"/>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AA" w:rsidRDefault="008B1FAA" w:rsidP="002600D0">
      <w:pPr>
        <w:spacing w:after="0" w:line="240" w:lineRule="auto"/>
      </w:pPr>
      <w:r>
        <w:separator/>
      </w:r>
    </w:p>
  </w:endnote>
  <w:endnote w:type="continuationSeparator" w:id="0">
    <w:p w:rsidR="008B1FAA" w:rsidRDefault="008B1FAA" w:rsidP="0026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AA" w:rsidRDefault="008B1FAA" w:rsidP="002600D0">
      <w:pPr>
        <w:spacing w:after="0" w:line="240" w:lineRule="auto"/>
      </w:pPr>
      <w:r>
        <w:separator/>
      </w:r>
    </w:p>
  </w:footnote>
  <w:footnote w:type="continuationSeparator" w:id="0">
    <w:p w:rsidR="008B1FAA" w:rsidRDefault="008B1FAA" w:rsidP="00260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9" w:rsidRDefault="007A04D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D0" w:rsidRDefault="008B1FAA">
    <w:pPr>
      <w:pStyle w:val="Intestazione"/>
      <w:jc w:val="center"/>
    </w:pPr>
    <w:sdt>
      <w:sdtPr>
        <w:id w:val="392325073"/>
        <w:docPartObj>
          <w:docPartGallery w:val="Page Numbers (Top of Page)"/>
          <w:docPartUnique/>
        </w:docPartObj>
      </w:sdtPr>
      <w:sdtEndPr/>
      <w:sdtContent>
        <w:r w:rsidR="002600D0">
          <w:fldChar w:fldCharType="begin"/>
        </w:r>
        <w:r w:rsidR="002600D0">
          <w:instrText>PAGE   \* MERGEFORMAT</w:instrText>
        </w:r>
        <w:r w:rsidR="002600D0">
          <w:fldChar w:fldCharType="separate"/>
        </w:r>
        <w:r w:rsidR="00F835CC">
          <w:rPr>
            <w:noProof/>
          </w:rPr>
          <w:t>4</w:t>
        </w:r>
        <w:r w:rsidR="002600D0">
          <w:fldChar w:fldCharType="end"/>
        </w:r>
      </w:sdtContent>
    </w:sdt>
  </w:p>
  <w:p w:rsidR="002600D0" w:rsidRDefault="002600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9" w:rsidRDefault="007A04D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8EB"/>
    <w:multiLevelType w:val="hybridMultilevel"/>
    <w:tmpl w:val="E632A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26090E"/>
    <w:multiLevelType w:val="hybridMultilevel"/>
    <w:tmpl w:val="18A85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ED490A"/>
    <w:multiLevelType w:val="hybridMultilevel"/>
    <w:tmpl w:val="54C465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AF1866"/>
    <w:multiLevelType w:val="hybridMultilevel"/>
    <w:tmpl w:val="BCC44A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04F7FCA"/>
    <w:multiLevelType w:val="hybridMultilevel"/>
    <w:tmpl w:val="6FD268CA"/>
    <w:lvl w:ilvl="0" w:tplc="CDCEE6F4">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AA3D48"/>
    <w:multiLevelType w:val="hybridMultilevel"/>
    <w:tmpl w:val="803042CA"/>
    <w:lvl w:ilvl="0" w:tplc="CDCEE6F4">
      <w:numFmt w:val="bullet"/>
      <w:lvlText w:val="•"/>
      <w:lvlJc w:val="left"/>
      <w:pPr>
        <w:ind w:left="360" w:hanging="360"/>
      </w:pPr>
      <w:rPr>
        <w:rFonts w:ascii="Verdana" w:eastAsiaTheme="minorHAnsi" w:hAnsi="Verdana" w:cstheme="minorBidi"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355B1564"/>
    <w:multiLevelType w:val="hybridMultilevel"/>
    <w:tmpl w:val="731EBD94"/>
    <w:lvl w:ilvl="0" w:tplc="CDCEE6F4">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408D2FCA"/>
    <w:multiLevelType w:val="hybridMultilevel"/>
    <w:tmpl w:val="14927A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CE576D"/>
    <w:multiLevelType w:val="hybridMultilevel"/>
    <w:tmpl w:val="603EB6F2"/>
    <w:lvl w:ilvl="0" w:tplc="CDCEE6F4">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7E30F9"/>
    <w:multiLevelType w:val="hybridMultilevel"/>
    <w:tmpl w:val="E3B088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638E060B"/>
    <w:multiLevelType w:val="hybridMultilevel"/>
    <w:tmpl w:val="120EF2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6CD02F5F"/>
    <w:multiLevelType w:val="hybridMultilevel"/>
    <w:tmpl w:val="0DAA99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62775B1"/>
    <w:multiLevelType w:val="hybridMultilevel"/>
    <w:tmpl w:val="AA5C31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5"/>
  </w:num>
  <w:num w:numId="6">
    <w:abstractNumId w:val="8"/>
  </w:num>
  <w:num w:numId="7">
    <w:abstractNumId w:val="4"/>
  </w:num>
  <w:num w:numId="8">
    <w:abstractNumId w:val="10"/>
  </w:num>
  <w:num w:numId="9">
    <w:abstractNumId w:val="11"/>
  </w:num>
  <w:num w:numId="10">
    <w:abstractNumId w:val="3"/>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F6"/>
    <w:rsid w:val="00005596"/>
    <w:rsid w:val="000104A5"/>
    <w:rsid w:val="000163BE"/>
    <w:rsid w:val="00026343"/>
    <w:rsid w:val="00030E62"/>
    <w:rsid w:val="0003154C"/>
    <w:rsid w:val="0003254E"/>
    <w:rsid w:val="00041075"/>
    <w:rsid w:val="00042146"/>
    <w:rsid w:val="00042DDE"/>
    <w:rsid w:val="00044775"/>
    <w:rsid w:val="00046A2B"/>
    <w:rsid w:val="00053AA5"/>
    <w:rsid w:val="000575F6"/>
    <w:rsid w:val="00063D96"/>
    <w:rsid w:val="000644AD"/>
    <w:rsid w:val="00075D28"/>
    <w:rsid w:val="00086F0D"/>
    <w:rsid w:val="0009607A"/>
    <w:rsid w:val="0009771B"/>
    <w:rsid w:val="000A298B"/>
    <w:rsid w:val="000A5EA6"/>
    <w:rsid w:val="000B2A60"/>
    <w:rsid w:val="000B5AD1"/>
    <w:rsid w:val="000D48A8"/>
    <w:rsid w:val="000D6479"/>
    <w:rsid w:val="000E03A7"/>
    <w:rsid w:val="000E42AE"/>
    <w:rsid w:val="000E57F3"/>
    <w:rsid w:val="000E6F7F"/>
    <w:rsid w:val="000E745A"/>
    <w:rsid w:val="000F04E7"/>
    <w:rsid w:val="000F08C7"/>
    <w:rsid w:val="00103351"/>
    <w:rsid w:val="0010401B"/>
    <w:rsid w:val="00106482"/>
    <w:rsid w:val="00122716"/>
    <w:rsid w:val="0013195F"/>
    <w:rsid w:val="00132054"/>
    <w:rsid w:val="00134714"/>
    <w:rsid w:val="00140664"/>
    <w:rsid w:val="00152A14"/>
    <w:rsid w:val="00152D0D"/>
    <w:rsid w:val="00154037"/>
    <w:rsid w:val="001543D3"/>
    <w:rsid w:val="001614B7"/>
    <w:rsid w:val="0016261E"/>
    <w:rsid w:val="00170767"/>
    <w:rsid w:val="00174D8C"/>
    <w:rsid w:val="00177740"/>
    <w:rsid w:val="001821D7"/>
    <w:rsid w:val="00190E70"/>
    <w:rsid w:val="00192631"/>
    <w:rsid w:val="001964A4"/>
    <w:rsid w:val="001968FC"/>
    <w:rsid w:val="00197B60"/>
    <w:rsid w:val="001A38B7"/>
    <w:rsid w:val="001A72CF"/>
    <w:rsid w:val="001C5A57"/>
    <w:rsid w:val="001D72E9"/>
    <w:rsid w:val="001E1C38"/>
    <w:rsid w:val="001E2641"/>
    <w:rsid w:val="001E2FFC"/>
    <w:rsid w:val="001F0490"/>
    <w:rsid w:val="001F2B55"/>
    <w:rsid w:val="001F3B80"/>
    <w:rsid w:val="001F62F9"/>
    <w:rsid w:val="001F6674"/>
    <w:rsid w:val="00203611"/>
    <w:rsid w:val="00230BB7"/>
    <w:rsid w:val="00244682"/>
    <w:rsid w:val="002452BF"/>
    <w:rsid w:val="002531C3"/>
    <w:rsid w:val="00255FBB"/>
    <w:rsid w:val="002600D0"/>
    <w:rsid w:val="00261C5B"/>
    <w:rsid w:val="0026398C"/>
    <w:rsid w:val="00271889"/>
    <w:rsid w:val="00275D83"/>
    <w:rsid w:val="00277C6D"/>
    <w:rsid w:val="00284D8F"/>
    <w:rsid w:val="00285861"/>
    <w:rsid w:val="00285942"/>
    <w:rsid w:val="00291274"/>
    <w:rsid w:val="00292512"/>
    <w:rsid w:val="00292E6D"/>
    <w:rsid w:val="00295EB7"/>
    <w:rsid w:val="00297115"/>
    <w:rsid w:val="002A0CDA"/>
    <w:rsid w:val="002A6260"/>
    <w:rsid w:val="002B4F6D"/>
    <w:rsid w:val="002C10B8"/>
    <w:rsid w:val="002C3A36"/>
    <w:rsid w:val="002C5B31"/>
    <w:rsid w:val="002E0D53"/>
    <w:rsid w:val="002E20C6"/>
    <w:rsid w:val="002E413C"/>
    <w:rsid w:val="002E6CE3"/>
    <w:rsid w:val="002F7D33"/>
    <w:rsid w:val="0030630A"/>
    <w:rsid w:val="00307171"/>
    <w:rsid w:val="0031287C"/>
    <w:rsid w:val="00320F2B"/>
    <w:rsid w:val="00356BCF"/>
    <w:rsid w:val="00357E50"/>
    <w:rsid w:val="00365C87"/>
    <w:rsid w:val="00367661"/>
    <w:rsid w:val="00372AD8"/>
    <w:rsid w:val="00383791"/>
    <w:rsid w:val="0038454E"/>
    <w:rsid w:val="00393A3B"/>
    <w:rsid w:val="003946D1"/>
    <w:rsid w:val="00397CAC"/>
    <w:rsid w:val="003D243A"/>
    <w:rsid w:val="003D6DD3"/>
    <w:rsid w:val="003E0684"/>
    <w:rsid w:val="003F5BD2"/>
    <w:rsid w:val="00403F8A"/>
    <w:rsid w:val="0040518D"/>
    <w:rsid w:val="00405574"/>
    <w:rsid w:val="004101A6"/>
    <w:rsid w:val="00412C69"/>
    <w:rsid w:val="004137EF"/>
    <w:rsid w:val="00422627"/>
    <w:rsid w:val="00425912"/>
    <w:rsid w:val="00451715"/>
    <w:rsid w:val="0045480A"/>
    <w:rsid w:val="0045602E"/>
    <w:rsid w:val="004560A5"/>
    <w:rsid w:val="00483844"/>
    <w:rsid w:val="004846C9"/>
    <w:rsid w:val="00491890"/>
    <w:rsid w:val="004A3F5F"/>
    <w:rsid w:val="004A6F69"/>
    <w:rsid w:val="004B0BEE"/>
    <w:rsid w:val="004B106C"/>
    <w:rsid w:val="004B2808"/>
    <w:rsid w:val="004D283B"/>
    <w:rsid w:val="004D332C"/>
    <w:rsid w:val="004D3A7C"/>
    <w:rsid w:val="004D7F4B"/>
    <w:rsid w:val="004E15F1"/>
    <w:rsid w:val="004E2B38"/>
    <w:rsid w:val="004E2E75"/>
    <w:rsid w:val="00503BEC"/>
    <w:rsid w:val="00503FA4"/>
    <w:rsid w:val="00507B6C"/>
    <w:rsid w:val="0051056C"/>
    <w:rsid w:val="00511911"/>
    <w:rsid w:val="00515FD2"/>
    <w:rsid w:val="005206AB"/>
    <w:rsid w:val="00520A22"/>
    <w:rsid w:val="00522E43"/>
    <w:rsid w:val="005377B4"/>
    <w:rsid w:val="005405D7"/>
    <w:rsid w:val="005545F8"/>
    <w:rsid w:val="005554B4"/>
    <w:rsid w:val="0055595E"/>
    <w:rsid w:val="00556F5E"/>
    <w:rsid w:val="00570CFA"/>
    <w:rsid w:val="00575C39"/>
    <w:rsid w:val="005800A9"/>
    <w:rsid w:val="005864F8"/>
    <w:rsid w:val="00594E85"/>
    <w:rsid w:val="005A03A4"/>
    <w:rsid w:val="005A1B51"/>
    <w:rsid w:val="005A597E"/>
    <w:rsid w:val="005B43C2"/>
    <w:rsid w:val="005C5957"/>
    <w:rsid w:val="005D11CC"/>
    <w:rsid w:val="005E4D6F"/>
    <w:rsid w:val="005E6F05"/>
    <w:rsid w:val="005F383E"/>
    <w:rsid w:val="005F693F"/>
    <w:rsid w:val="0060071E"/>
    <w:rsid w:val="00606DCB"/>
    <w:rsid w:val="00613E55"/>
    <w:rsid w:val="00626A66"/>
    <w:rsid w:val="00632783"/>
    <w:rsid w:val="006358B8"/>
    <w:rsid w:val="00644D1B"/>
    <w:rsid w:val="00652313"/>
    <w:rsid w:val="006552AB"/>
    <w:rsid w:val="0065659E"/>
    <w:rsid w:val="00661BD4"/>
    <w:rsid w:val="006742D6"/>
    <w:rsid w:val="00684316"/>
    <w:rsid w:val="00687E67"/>
    <w:rsid w:val="00694AA3"/>
    <w:rsid w:val="006A17CD"/>
    <w:rsid w:val="006B743F"/>
    <w:rsid w:val="006C353D"/>
    <w:rsid w:val="006D1FD8"/>
    <w:rsid w:val="006D2030"/>
    <w:rsid w:val="006D3795"/>
    <w:rsid w:val="006E1A06"/>
    <w:rsid w:val="006F0E8B"/>
    <w:rsid w:val="0070202F"/>
    <w:rsid w:val="00715559"/>
    <w:rsid w:val="00716BC0"/>
    <w:rsid w:val="0072109B"/>
    <w:rsid w:val="007238E2"/>
    <w:rsid w:val="00724BBF"/>
    <w:rsid w:val="00740199"/>
    <w:rsid w:val="00743EB3"/>
    <w:rsid w:val="00753310"/>
    <w:rsid w:val="0075377B"/>
    <w:rsid w:val="007739A4"/>
    <w:rsid w:val="0077459E"/>
    <w:rsid w:val="00777CCA"/>
    <w:rsid w:val="00783B8D"/>
    <w:rsid w:val="007A0204"/>
    <w:rsid w:val="007A04D9"/>
    <w:rsid w:val="007A1AC6"/>
    <w:rsid w:val="007A3ED3"/>
    <w:rsid w:val="007B614F"/>
    <w:rsid w:val="007C1413"/>
    <w:rsid w:val="007C2036"/>
    <w:rsid w:val="007E1DD1"/>
    <w:rsid w:val="007E1F23"/>
    <w:rsid w:val="007E5835"/>
    <w:rsid w:val="008007D0"/>
    <w:rsid w:val="00807E1D"/>
    <w:rsid w:val="008231A2"/>
    <w:rsid w:val="008464CE"/>
    <w:rsid w:val="0085063A"/>
    <w:rsid w:val="00861B27"/>
    <w:rsid w:val="00872B03"/>
    <w:rsid w:val="00875E42"/>
    <w:rsid w:val="008874E5"/>
    <w:rsid w:val="008927B2"/>
    <w:rsid w:val="00895D1F"/>
    <w:rsid w:val="008A1C83"/>
    <w:rsid w:val="008B1FAA"/>
    <w:rsid w:val="008B48B2"/>
    <w:rsid w:val="008C1F4E"/>
    <w:rsid w:val="008C43BD"/>
    <w:rsid w:val="008D14D9"/>
    <w:rsid w:val="008D2441"/>
    <w:rsid w:val="008D3B04"/>
    <w:rsid w:val="008E0174"/>
    <w:rsid w:val="008E2653"/>
    <w:rsid w:val="008E332C"/>
    <w:rsid w:val="008F1CD2"/>
    <w:rsid w:val="008F7693"/>
    <w:rsid w:val="009041EF"/>
    <w:rsid w:val="00906348"/>
    <w:rsid w:val="009207AD"/>
    <w:rsid w:val="00930E08"/>
    <w:rsid w:val="00930F9C"/>
    <w:rsid w:val="0093283B"/>
    <w:rsid w:val="00932B63"/>
    <w:rsid w:val="009448E5"/>
    <w:rsid w:val="00947C35"/>
    <w:rsid w:val="00953831"/>
    <w:rsid w:val="00957F5E"/>
    <w:rsid w:val="00965C92"/>
    <w:rsid w:val="009A018A"/>
    <w:rsid w:val="009A0E9F"/>
    <w:rsid w:val="009A1EEE"/>
    <w:rsid w:val="009A4173"/>
    <w:rsid w:val="009A629B"/>
    <w:rsid w:val="009A675F"/>
    <w:rsid w:val="009A7484"/>
    <w:rsid w:val="009B1866"/>
    <w:rsid w:val="009B26AF"/>
    <w:rsid w:val="009C0EB6"/>
    <w:rsid w:val="009D41B8"/>
    <w:rsid w:val="009E1ADC"/>
    <w:rsid w:val="009F045C"/>
    <w:rsid w:val="009F1E8C"/>
    <w:rsid w:val="009F63D6"/>
    <w:rsid w:val="00A11512"/>
    <w:rsid w:val="00A17A10"/>
    <w:rsid w:val="00A17E61"/>
    <w:rsid w:val="00A34D26"/>
    <w:rsid w:val="00A42D25"/>
    <w:rsid w:val="00A4478D"/>
    <w:rsid w:val="00A4583F"/>
    <w:rsid w:val="00A46C5D"/>
    <w:rsid w:val="00A47D6D"/>
    <w:rsid w:val="00A61082"/>
    <w:rsid w:val="00A626B1"/>
    <w:rsid w:val="00A72E84"/>
    <w:rsid w:val="00A80245"/>
    <w:rsid w:val="00A87221"/>
    <w:rsid w:val="00A87477"/>
    <w:rsid w:val="00A91596"/>
    <w:rsid w:val="00A964ED"/>
    <w:rsid w:val="00AB13CC"/>
    <w:rsid w:val="00AC1B63"/>
    <w:rsid w:val="00AD29A3"/>
    <w:rsid w:val="00AD57B4"/>
    <w:rsid w:val="00AE14CA"/>
    <w:rsid w:val="00AE223F"/>
    <w:rsid w:val="00AE7336"/>
    <w:rsid w:val="00AE7F48"/>
    <w:rsid w:val="00AF4E98"/>
    <w:rsid w:val="00AF5CF7"/>
    <w:rsid w:val="00B0254C"/>
    <w:rsid w:val="00B114A1"/>
    <w:rsid w:val="00B20A3E"/>
    <w:rsid w:val="00B30F46"/>
    <w:rsid w:val="00B345EA"/>
    <w:rsid w:val="00B65B74"/>
    <w:rsid w:val="00B65B8E"/>
    <w:rsid w:val="00B81A19"/>
    <w:rsid w:val="00B82D01"/>
    <w:rsid w:val="00B875E7"/>
    <w:rsid w:val="00B8770A"/>
    <w:rsid w:val="00BA13C7"/>
    <w:rsid w:val="00BA5B16"/>
    <w:rsid w:val="00BA7296"/>
    <w:rsid w:val="00BA7D88"/>
    <w:rsid w:val="00BB46E4"/>
    <w:rsid w:val="00BB7412"/>
    <w:rsid w:val="00C20959"/>
    <w:rsid w:val="00C21DD1"/>
    <w:rsid w:val="00C2266E"/>
    <w:rsid w:val="00C268A4"/>
    <w:rsid w:val="00C452FD"/>
    <w:rsid w:val="00C551DB"/>
    <w:rsid w:val="00C77805"/>
    <w:rsid w:val="00C85F6B"/>
    <w:rsid w:val="00C910D7"/>
    <w:rsid w:val="00CB155C"/>
    <w:rsid w:val="00CC25C6"/>
    <w:rsid w:val="00CC26FA"/>
    <w:rsid w:val="00CC385B"/>
    <w:rsid w:val="00CC632D"/>
    <w:rsid w:val="00CD52A2"/>
    <w:rsid w:val="00CD5752"/>
    <w:rsid w:val="00CF7159"/>
    <w:rsid w:val="00D033CD"/>
    <w:rsid w:val="00D11F60"/>
    <w:rsid w:val="00D13597"/>
    <w:rsid w:val="00D1765E"/>
    <w:rsid w:val="00D21748"/>
    <w:rsid w:val="00D22502"/>
    <w:rsid w:val="00D31E78"/>
    <w:rsid w:val="00D43516"/>
    <w:rsid w:val="00D51195"/>
    <w:rsid w:val="00D54D53"/>
    <w:rsid w:val="00D55625"/>
    <w:rsid w:val="00D64EAF"/>
    <w:rsid w:val="00D669BB"/>
    <w:rsid w:val="00D718E4"/>
    <w:rsid w:val="00D75709"/>
    <w:rsid w:val="00D90383"/>
    <w:rsid w:val="00D94042"/>
    <w:rsid w:val="00DB1040"/>
    <w:rsid w:val="00DB7911"/>
    <w:rsid w:val="00DC68F8"/>
    <w:rsid w:val="00DE4478"/>
    <w:rsid w:val="00DF3812"/>
    <w:rsid w:val="00E00A93"/>
    <w:rsid w:val="00E01D70"/>
    <w:rsid w:val="00E1063A"/>
    <w:rsid w:val="00E155A6"/>
    <w:rsid w:val="00E24CA8"/>
    <w:rsid w:val="00E27A5C"/>
    <w:rsid w:val="00E312C5"/>
    <w:rsid w:val="00E34C14"/>
    <w:rsid w:val="00E41296"/>
    <w:rsid w:val="00E41DAF"/>
    <w:rsid w:val="00E5681F"/>
    <w:rsid w:val="00E61D7A"/>
    <w:rsid w:val="00E71A1C"/>
    <w:rsid w:val="00E72345"/>
    <w:rsid w:val="00E7631D"/>
    <w:rsid w:val="00E84AEE"/>
    <w:rsid w:val="00E945D8"/>
    <w:rsid w:val="00E94980"/>
    <w:rsid w:val="00EA3119"/>
    <w:rsid w:val="00EA7211"/>
    <w:rsid w:val="00EC39F1"/>
    <w:rsid w:val="00EC46FA"/>
    <w:rsid w:val="00EC4DA1"/>
    <w:rsid w:val="00ED6E60"/>
    <w:rsid w:val="00EE2434"/>
    <w:rsid w:val="00EE7660"/>
    <w:rsid w:val="00F01E92"/>
    <w:rsid w:val="00F03AB4"/>
    <w:rsid w:val="00F160E9"/>
    <w:rsid w:val="00F1771B"/>
    <w:rsid w:val="00F2022E"/>
    <w:rsid w:val="00F30A0A"/>
    <w:rsid w:val="00F3234D"/>
    <w:rsid w:val="00F5462E"/>
    <w:rsid w:val="00F57024"/>
    <w:rsid w:val="00F6241E"/>
    <w:rsid w:val="00F6640B"/>
    <w:rsid w:val="00F72027"/>
    <w:rsid w:val="00F7707E"/>
    <w:rsid w:val="00F835CC"/>
    <w:rsid w:val="00F867AB"/>
    <w:rsid w:val="00F8738A"/>
    <w:rsid w:val="00F93F28"/>
    <w:rsid w:val="00FA0BCA"/>
    <w:rsid w:val="00FA1D6C"/>
    <w:rsid w:val="00FA27D6"/>
    <w:rsid w:val="00FA3396"/>
    <w:rsid w:val="00FC1497"/>
    <w:rsid w:val="00FC5447"/>
    <w:rsid w:val="00FD2270"/>
    <w:rsid w:val="00FE600E"/>
    <w:rsid w:val="00FF0109"/>
    <w:rsid w:val="00FF1681"/>
    <w:rsid w:val="00FF1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0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0D0"/>
    <w:rPr>
      <w:rFonts w:ascii="Tahoma" w:hAnsi="Tahoma" w:cs="Tahoma"/>
      <w:sz w:val="16"/>
      <w:szCs w:val="16"/>
    </w:rPr>
  </w:style>
  <w:style w:type="paragraph" w:styleId="Intestazione">
    <w:name w:val="header"/>
    <w:basedOn w:val="Normale"/>
    <w:link w:val="IntestazioneCarattere"/>
    <w:uiPriority w:val="99"/>
    <w:unhideWhenUsed/>
    <w:rsid w:val="00260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0D0"/>
  </w:style>
  <w:style w:type="paragraph" w:styleId="Pidipagina">
    <w:name w:val="footer"/>
    <w:basedOn w:val="Normale"/>
    <w:link w:val="PidipaginaCarattere"/>
    <w:uiPriority w:val="99"/>
    <w:unhideWhenUsed/>
    <w:rsid w:val="00260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0D0"/>
  </w:style>
  <w:style w:type="paragraph" w:styleId="Paragrafoelenco">
    <w:name w:val="List Paragraph"/>
    <w:basedOn w:val="Normale"/>
    <w:uiPriority w:val="34"/>
    <w:qFormat/>
    <w:rsid w:val="002600D0"/>
    <w:pPr>
      <w:ind w:left="720"/>
      <w:contextualSpacing/>
    </w:pPr>
  </w:style>
  <w:style w:type="paragraph" w:styleId="Rientrocorpodeltesto2">
    <w:name w:val="Body Text Indent 2"/>
    <w:basedOn w:val="Normale"/>
    <w:link w:val="Rientrocorpodeltesto2Carattere"/>
    <w:semiHidden/>
    <w:unhideWhenUsed/>
    <w:rsid w:val="009A1EEE"/>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Rientrocorpodeltesto2Carattere">
    <w:name w:val="Rientro corpo del testo 2 Carattere"/>
    <w:basedOn w:val="Carpredefinitoparagrafo"/>
    <w:link w:val="Rientrocorpodeltesto2"/>
    <w:semiHidden/>
    <w:rsid w:val="009A1EEE"/>
    <w:rPr>
      <w:rFonts w:ascii="Times New Roman" w:eastAsia="Times New Roman" w:hAnsi="Times New Roman" w:cs="Times New Roman"/>
      <w:sz w:val="24"/>
      <w:szCs w:val="20"/>
      <w:lang w:eastAsia="ar-SA"/>
    </w:rPr>
  </w:style>
  <w:style w:type="paragraph" w:customStyle="1" w:styleId="bollo1">
    <w:name w:val="bollo1"/>
    <w:basedOn w:val="Normale"/>
    <w:rsid w:val="000F04E7"/>
    <w:pPr>
      <w:overflowPunct w:val="0"/>
      <w:autoSpaceDE w:val="0"/>
      <w:autoSpaceDN w:val="0"/>
      <w:adjustRightInd w:val="0"/>
      <w:spacing w:after="0" w:line="567" w:lineRule="exact"/>
      <w:jc w:val="both"/>
      <w:textAlignment w:val="baseline"/>
    </w:pPr>
    <w:rPr>
      <w:rFonts w:ascii="Arial" w:eastAsia="Times New Roman" w:hAnsi="Arial"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0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0D0"/>
    <w:rPr>
      <w:rFonts w:ascii="Tahoma" w:hAnsi="Tahoma" w:cs="Tahoma"/>
      <w:sz w:val="16"/>
      <w:szCs w:val="16"/>
    </w:rPr>
  </w:style>
  <w:style w:type="paragraph" w:styleId="Intestazione">
    <w:name w:val="header"/>
    <w:basedOn w:val="Normale"/>
    <w:link w:val="IntestazioneCarattere"/>
    <w:uiPriority w:val="99"/>
    <w:unhideWhenUsed/>
    <w:rsid w:val="00260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0D0"/>
  </w:style>
  <w:style w:type="paragraph" w:styleId="Pidipagina">
    <w:name w:val="footer"/>
    <w:basedOn w:val="Normale"/>
    <w:link w:val="PidipaginaCarattere"/>
    <w:uiPriority w:val="99"/>
    <w:unhideWhenUsed/>
    <w:rsid w:val="00260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0D0"/>
  </w:style>
  <w:style w:type="paragraph" w:styleId="Paragrafoelenco">
    <w:name w:val="List Paragraph"/>
    <w:basedOn w:val="Normale"/>
    <w:uiPriority w:val="34"/>
    <w:qFormat/>
    <w:rsid w:val="002600D0"/>
    <w:pPr>
      <w:ind w:left="720"/>
      <w:contextualSpacing/>
    </w:pPr>
  </w:style>
  <w:style w:type="paragraph" w:styleId="Rientrocorpodeltesto2">
    <w:name w:val="Body Text Indent 2"/>
    <w:basedOn w:val="Normale"/>
    <w:link w:val="Rientrocorpodeltesto2Carattere"/>
    <w:semiHidden/>
    <w:unhideWhenUsed/>
    <w:rsid w:val="009A1EEE"/>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Rientrocorpodeltesto2Carattere">
    <w:name w:val="Rientro corpo del testo 2 Carattere"/>
    <w:basedOn w:val="Carpredefinitoparagrafo"/>
    <w:link w:val="Rientrocorpodeltesto2"/>
    <w:semiHidden/>
    <w:rsid w:val="009A1EEE"/>
    <w:rPr>
      <w:rFonts w:ascii="Times New Roman" w:eastAsia="Times New Roman" w:hAnsi="Times New Roman" w:cs="Times New Roman"/>
      <w:sz w:val="24"/>
      <w:szCs w:val="20"/>
      <w:lang w:eastAsia="ar-SA"/>
    </w:rPr>
  </w:style>
  <w:style w:type="paragraph" w:customStyle="1" w:styleId="bollo1">
    <w:name w:val="bollo1"/>
    <w:basedOn w:val="Normale"/>
    <w:rsid w:val="000F04E7"/>
    <w:pPr>
      <w:overflowPunct w:val="0"/>
      <w:autoSpaceDE w:val="0"/>
      <w:autoSpaceDN w:val="0"/>
      <w:adjustRightInd w:val="0"/>
      <w:spacing w:after="0" w:line="567" w:lineRule="exact"/>
      <w:jc w:val="both"/>
      <w:textAlignment w:val="baseline"/>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633828">
      <w:bodyDiv w:val="1"/>
      <w:marLeft w:val="0"/>
      <w:marRight w:val="0"/>
      <w:marTop w:val="0"/>
      <w:marBottom w:val="0"/>
      <w:divBdr>
        <w:top w:val="none" w:sz="0" w:space="0" w:color="auto"/>
        <w:left w:val="none" w:sz="0" w:space="0" w:color="auto"/>
        <w:bottom w:val="none" w:sz="0" w:space="0" w:color="auto"/>
        <w:right w:val="none" w:sz="0" w:space="0" w:color="auto"/>
      </w:divBdr>
    </w:div>
    <w:div w:id="681934746">
      <w:bodyDiv w:val="1"/>
      <w:marLeft w:val="0"/>
      <w:marRight w:val="0"/>
      <w:marTop w:val="0"/>
      <w:marBottom w:val="0"/>
      <w:divBdr>
        <w:top w:val="none" w:sz="0" w:space="0" w:color="auto"/>
        <w:left w:val="none" w:sz="0" w:space="0" w:color="auto"/>
        <w:bottom w:val="none" w:sz="0" w:space="0" w:color="auto"/>
        <w:right w:val="none" w:sz="0" w:space="0" w:color="auto"/>
      </w:divBdr>
    </w:div>
    <w:div w:id="914825547">
      <w:bodyDiv w:val="1"/>
      <w:marLeft w:val="0"/>
      <w:marRight w:val="0"/>
      <w:marTop w:val="0"/>
      <w:marBottom w:val="0"/>
      <w:divBdr>
        <w:top w:val="none" w:sz="0" w:space="0" w:color="auto"/>
        <w:left w:val="none" w:sz="0" w:space="0" w:color="auto"/>
        <w:bottom w:val="none" w:sz="0" w:space="0" w:color="auto"/>
        <w:right w:val="none" w:sz="0" w:space="0" w:color="auto"/>
      </w:divBdr>
    </w:div>
    <w:div w:id="20669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1365</Words>
  <Characters>7785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Mazzieri Simonetta</dc:creator>
  <cp:lastModifiedBy>Mazzieri Simonetta</cp:lastModifiedBy>
  <cp:revision>4</cp:revision>
  <cp:lastPrinted>2015-07-23T09:24:00Z</cp:lastPrinted>
  <dcterms:created xsi:type="dcterms:W3CDTF">2015-07-23T07:14:00Z</dcterms:created>
  <dcterms:modified xsi:type="dcterms:W3CDTF">2015-08-10T10:00:00Z</dcterms:modified>
</cp:coreProperties>
</file>